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spacing w:before="340" w:beforeAutospacing="0" w:after="330" w:afterAutospacing="0" w:line="576" w:lineRule="auto"/>
        <w:jc w:val="both"/>
      </w:pPr>
      <w:r>
        <w:rPr>
          <w:rFonts w:ascii="Times New Roman" w:hAnsi="Times New Roman" w:cs="Times New Roman"/>
          <w:sz w:val="32"/>
          <w:szCs w:val="32"/>
        </w:rPr>
        <w:t> </w:t>
      </w:r>
    </w:p>
    <w:p>
      <w:pPr>
        <w:spacing w:before="100" w:beforeAutospacing="1" w:after="100" w:afterAutospacing="1"/>
        <w:jc w:val="both"/>
      </w:pPr>
      <w:r>
        <w:rPr>
          <w:rFonts w:ascii="Times New Roman" w:hAnsi="Times New Roman" w:cs="Times New Roman"/>
          <w:sz w:val="32"/>
          <w:szCs w:val="32"/>
        </w:rPr>
        <w:t> </w:t>
      </w:r>
    </w:p>
    <w:p>
      <w:pPr>
        <w:spacing w:after="120"/>
        <w:jc w:val="both"/>
      </w:pPr>
      <w:r>
        <w:rPr>
          <w:rFonts w:ascii="Times New Roman" w:hAnsi="Times New Roman" w:cs="Times New Roman"/>
          <w:sz w:val="32"/>
          <w:szCs w:val="32"/>
        </w:rPr>
        <w:t> </w:t>
      </w:r>
    </w:p>
    <w:p>
      <w:pPr>
        <w:spacing w:after="120"/>
        <w:jc w:val="both"/>
      </w:pPr>
      <w:r>
        <w:rPr>
          <w:rFonts w:ascii="Times New Roman" w:hAnsi="Times New Roman" w:cs="Times New Roman"/>
          <w:sz w:val="32"/>
          <w:szCs w:val="32"/>
        </w:rPr>
        <w:t> </w:t>
      </w:r>
    </w:p>
    <w:p>
      <w:pPr>
        <w:spacing w:after="120"/>
        <w:jc w:val="both"/>
      </w:pPr>
      <w:r>
        <w:rPr>
          <w:rFonts w:ascii="Times New Roman" w:hAnsi="Times New Roman" w:cs="Times New Roman"/>
          <w:sz w:val="32"/>
          <w:szCs w:val="32"/>
        </w:rPr>
        <w:t> </w:t>
      </w:r>
    </w:p>
    <w:p>
      <w:pPr>
        <w:spacing w:after="120"/>
        <w:jc w:val="both"/>
      </w:pPr>
      <w:r>
        <w:rPr>
          <w:rFonts w:ascii="Times New Roman" w:hAnsi="Times New Roman" w:cs="Times New Roman"/>
          <w:sz w:val="32"/>
          <w:szCs w:val="32"/>
        </w:rPr>
        <w:t> </w:t>
      </w:r>
    </w:p>
    <w:p>
      <w:pPr>
        <w:spacing w:after="120"/>
        <w:jc w:val="both"/>
      </w:pPr>
      <w:r>
        <w:rPr>
          <w:rFonts w:ascii="Times New Roman" w:hAnsi="Times New Roman" w:cs="Times New Roman"/>
          <w:sz w:val="32"/>
          <w:szCs w:val="32"/>
        </w:rPr>
        <w:t> </w:t>
      </w:r>
    </w:p>
    <w:p>
      <w:pPr>
        <w:keepNext/>
        <w:spacing w:before="100" w:beforeAutospacing="1" w:after="100" w:afterAutospacing="1"/>
        <w:jc w:val="center"/>
      </w:pPr>
      <w:r>
        <w:rPr>
          <w:rFonts w:hint="eastAsia" w:ascii="方正小标宋简体" w:eastAsia="方正小标宋简体"/>
          <w:sz w:val="44"/>
          <w:szCs w:val="44"/>
        </w:rPr>
        <w:t>2022年度内蒙古自治区特种设备检验研究院部门决算公开</w:t>
      </w:r>
    </w:p>
    <w:p>
      <w:pPr>
        <w:spacing w:before="100" w:beforeAutospacing="1" w:after="100" w:afterAutospacing="1"/>
        <w:jc w:val="both"/>
      </w:pPr>
      <w:r>
        <w:rPr>
          <w:rFonts w:ascii="Times New Roman" w:hAnsi="Times New Roman" w:cs="Times New Roman"/>
          <w:sz w:val="21"/>
          <w:szCs w:val="21"/>
        </w:rPr>
        <w:t> </w:t>
      </w:r>
    </w:p>
    <w:p>
      <w:pPr>
        <w:spacing w:after="120"/>
        <w:jc w:val="both"/>
      </w:pPr>
      <w:r>
        <w:rPr>
          <w:rFonts w:ascii="Times New Roman" w:hAnsi="Times New Roman" w:cs="Times New Roman"/>
          <w:sz w:val="21"/>
          <w:szCs w:val="21"/>
        </w:rPr>
        <w:t> </w:t>
      </w:r>
    </w:p>
    <w:p>
      <w:pPr>
        <w:spacing w:after="120"/>
        <w:jc w:val="both"/>
      </w:pPr>
      <w:r>
        <w:rPr>
          <w:rFonts w:ascii="Times New Roman" w:hAnsi="Times New Roman" w:cs="Times New Roman"/>
          <w:sz w:val="21"/>
          <w:szCs w:val="21"/>
        </w:rPr>
        <w:t xml:space="preserve">  </w:t>
      </w:r>
    </w:p>
    <w:p>
      <w:pPr>
        <w:spacing w:after="120"/>
        <w:jc w:val="both"/>
      </w:pPr>
      <w:r>
        <w:rPr>
          <w:rFonts w:ascii="Times New Roman" w:hAnsi="Times New Roman" w:cs="Times New Roman"/>
          <w:sz w:val="21"/>
          <w:szCs w:val="21"/>
        </w:rPr>
        <w:t> </w:t>
      </w:r>
    </w:p>
    <w:p>
      <w:pPr>
        <w:spacing w:after="120"/>
        <w:jc w:val="both"/>
      </w:pPr>
      <w:r>
        <w:rPr>
          <w:rFonts w:ascii="Times New Roman" w:hAnsi="Times New Roman" w:cs="Times New Roman"/>
          <w:sz w:val="21"/>
          <w:szCs w:val="21"/>
        </w:rPr>
        <w:t> </w:t>
      </w:r>
    </w:p>
    <w:p>
      <w:pPr>
        <w:spacing w:after="120"/>
        <w:jc w:val="both"/>
      </w:pPr>
      <w:r>
        <w:rPr>
          <w:rFonts w:ascii="Times New Roman" w:hAnsi="Times New Roman" w:cs="Times New Roman"/>
          <w:sz w:val="21"/>
          <w:szCs w:val="21"/>
        </w:rPr>
        <w:t> </w:t>
      </w:r>
    </w:p>
    <w:p>
      <w:pPr>
        <w:spacing w:after="120"/>
        <w:jc w:val="both"/>
      </w:pPr>
      <w:r>
        <w:rPr>
          <w:rFonts w:ascii="Times New Roman" w:hAnsi="Times New Roman" w:cs="Times New Roman"/>
          <w:sz w:val="21"/>
          <w:szCs w:val="21"/>
        </w:rPr>
        <w:t> </w:t>
      </w:r>
    </w:p>
    <w:p>
      <w:pPr>
        <w:spacing w:before="3" w:after="120"/>
        <w:jc w:val="both"/>
      </w:pPr>
      <w:r>
        <w:rPr>
          <w:rFonts w:hint="eastAsia"/>
          <w:sz w:val="32"/>
          <w:szCs w:val="32"/>
        </w:rPr>
        <w:t> </w:t>
      </w:r>
    </w:p>
    <w:p>
      <w:pPr>
        <w:spacing w:before="3" w:after="120"/>
        <w:jc w:val="both"/>
      </w:pPr>
      <w:r>
        <w:rPr>
          <w:rFonts w:hint="eastAsia"/>
          <w:color w:val="0000FF"/>
          <w:sz w:val="32"/>
          <w:szCs w:val="32"/>
        </w:rPr>
        <w:t> </w:t>
      </w:r>
    </w:p>
    <w:p>
      <w:pPr>
        <w:spacing w:before="3" w:after="120"/>
        <w:jc w:val="both"/>
      </w:pPr>
      <w:r>
        <w:rPr>
          <w:rFonts w:hint="eastAsia"/>
          <w:color w:val="0000FF"/>
          <w:sz w:val="32"/>
          <w:szCs w:val="32"/>
        </w:rPr>
        <w:t> </w:t>
      </w:r>
    </w:p>
    <w:p>
      <w:pPr>
        <w:spacing w:before="3" w:after="120"/>
        <w:jc w:val="both"/>
      </w:pPr>
      <w:r>
        <w:rPr>
          <w:rFonts w:hint="eastAsia"/>
          <w:color w:val="0000FF"/>
          <w:sz w:val="32"/>
          <w:szCs w:val="32"/>
        </w:rPr>
        <w:t> </w:t>
      </w:r>
    </w:p>
    <w:p>
      <w:pPr>
        <w:spacing w:before="3" w:after="120"/>
        <w:jc w:val="both"/>
      </w:pPr>
      <w:r>
        <w:rPr>
          <w:rFonts w:ascii="Times New Roman" w:hAnsi="Times New Roman" w:cs="Times New Roman"/>
          <w:sz w:val="10"/>
          <w:szCs w:val="10"/>
        </w:rPr>
        <w:t> </w:t>
      </w:r>
    </w:p>
    <w:p>
      <w:pPr>
        <w:spacing w:before="100" w:beforeAutospacing="1" w:after="100" w:afterAutospacing="1"/>
        <w:jc w:val="center"/>
      </w:pPr>
      <w:r>
        <w:rPr>
          <w:rFonts w:hint="eastAsia"/>
          <w:b/>
          <w:bCs/>
          <w:sz w:val="48"/>
          <w:szCs w:val="48"/>
        </w:rPr>
        <w:t>目</w:t>
      </w:r>
      <w:r>
        <w:rPr>
          <w:rFonts w:ascii="Times New Roman" w:hAnsi="Times New Roman" w:cs="Times New Roman"/>
          <w:b/>
          <w:bCs/>
          <w:sz w:val="48"/>
          <w:szCs w:val="48"/>
        </w:rPr>
        <w:t xml:space="preserve">  </w:t>
      </w:r>
      <w:r>
        <w:rPr>
          <w:rFonts w:hint="eastAsia"/>
          <w:b/>
          <w:bCs/>
          <w:sz w:val="48"/>
          <w:szCs w:val="48"/>
        </w:rPr>
        <w:t>录</w:t>
      </w:r>
    </w:p>
    <w:p>
      <w:pPr>
        <w:spacing w:before="100" w:beforeAutospacing="1" w:after="100" w:afterAutospacing="1" w:line="360" w:lineRule="auto"/>
        <w:jc w:val="both"/>
      </w:pPr>
      <w:r>
        <w:rPr>
          <w:rFonts w:hint="eastAsia" w:ascii="黑体" w:hAnsi="黑体" w:eastAsia="黑体"/>
          <w:sz w:val="32"/>
          <w:szCs w:val="32"/>
        </w:rPr>
        <w:t>第一部分 部门概况</w:t>
      </w:r>
    </w:p>
    <w:p>
      <w:pPr>
        <w:spacing w:before="100" w:beforeAutospacing="1" w:after="100" w:afterAutospacing="1" w:line="360" w:lineRule="auto"/>
        <w:jc w:val="both"/>
      </w:pPr>
      <w:r>
        <w:rPr>
          <w:rFonts w:hint="eastAsia"/>
          <w:sz w:val="32"/>
          <w:szCs w:val="32"/>
        </w:rPr>
        <w:t>一、主要职能、职责</w:t>
      </w:r>
    </w:p>
    <w:p>
      <w:pPr>
        <w:spacing w:before="6" w:after="120" w:line="228" w:lineRule="auto"/>
        <w:jc w:val="both"/>
      </w:pPr>
      <w:r>
        <w:rPr>
          <w:rFonts w:hint="eastAsia"/>
          <w:sz w:val="32"/>
          <w:szCs w:val="32"/>
        </w:rPr>
        <w:t>二、部门机构设置及决算单位构成情况</w:t>
      </w:r>
    </w:p>
    <w:p>
      <w:pPr>
        <w:spacing w:before="100" w:beforeAutospacing="1" w:after="100" w:afterAutospacing="1" w:line="360" w:lineRule="auto"/>
        <w:jc w:val="both"/>
      </w:pPr>
      <w:r>
        <w:rPr>
          <w:rFonts w:hint="eastAsia" w:ascii="黑体" w:hAnsi="黑体" w:eastAsia="黑体"/>
          <w:sz w:val="32"/>
          <w:szCs w:val="32"/>
        </w:rPr>
        <w:t>第二部分 2022年度部门决算情况说明</w:t>
      </w:r>
    </w:p>
    <w:p>
      <w:pPr>
        <w:spacing w:before="100" w:beforeAutospacing="1" w:after="100" w:afterAutospacing="1" w:line="360" w:lineRule="auto"/>
        <w:jc w:val="both"/>
      </w:pPr>
      <w:r>
        <w:rPr>
          <w:rFonts w:hint="eastAsia"/>
          <w:sz w:val="32"/>
          <w:szCs w:val="32"/>
        </w:rPr>
        <w:t>一、收入支出决算总体情况说明</w:t>
      </w:r>
    </w:p>
    <w:p>
      <w:pPr>
        <w:spacing w:before="100" w:beforeAutospacing="1" w:after="100" w:afterAutospacing="1" w:line="360" w:lineRule="auto"/>
        <w:jc w:val="both"/>
      </w:pPr>
      <w:r>
        <w:rPr>
          <w:rFonts w:hint="eastAsia"/>
          <w:sz w:val="32"/>
          <w:szCs w:val="32"/>
        </w:rPr>
        <w:t>二、收入决算情况说明</w:t>
      </w:r>
    </w:p>
    <w:p>
      <w:pPr>
        <w:spacing w:before="100" w:beforeAutospacing="1" w:after="100" w:afterAutospacing="1" w:line="360" w:lineRule="auto"/>
        <w:jc w:val="both"/>
      </w:pPr>
      <w:r>
        <w:rPr>
          <w:rFonts w:hint="eastAsia"/>
          <w:sz w:val="32"/>
          <w:szCs w:val="32"/>
        </w:rPr>
        <w:t>三、支出决算情况说明</w:t>
      </w:r>
    </w:p>
    <w:p>
      <w:pPr>
        <w:spacing w:before="100" w:beforeAutospacing="1" w:after="100" w:afterAutospacing="1" w:line="360" w:lineRule="auto"/>
        <w:jc w:val="both"/>
      </w:pPr>
      <w:r>
        <w:rPr>
          <w:rFonts w:hint="eastAsia"/>
          <w:sz w:val="32"/>
          <w:szCs w:val="32"/>
        </w:rPr>
        <w:t>四、财政拨款收入支出决算总体情况说明</w:t>
      </w:r>
    </w:p>
    <w:p>
      <w:pPr>
        <w:spacing w:before="100" w:beforeAutospacing="1" w:after="100" w:afterAutospacing="1" w:line="360" w:lineRule="auto"/>
        <w:jc w:val="both"/>
      </w:pPr>
      <w:r>
        <w:rPr>
          <w:rFonts w:hint="eastAsia"/>
          <w:sz w:val="32"/>
          <w:szCs w:val="32"/>
        </w:rPr>
        <w:t>五、一般公共预算支出决算情况说明</w:t>
      </w:r>
    </w:p>
    <w:p>
      <w:pPr>
        <w:spacing w:before="100" w:beforeAutospacing="1" w:after="100" w:afterAutospacing="1" w:line="360" w:lineRule="auto"/>
        <w:jc w:val="both"/>
      </w:pPr>
      <w:r>
        <w:rPr>
          <w:rFonts w:hint="eastAsia"/>
          <w:sz w:val="32"/>
          <w:szCs w:val="32"/>
        </w:rPr>
        <w:t>六、一般公共预算基本支出决算情况说明</w:t>
      </w:r>
    </w:p>
    <w:p>
      <w:pPr>
        <w:spacing w:before="100" w:beforeAutospacing="1" w:after="100" w:afterAutospacing="1" w:line="360" w:lineRule="auto"/>
        <w:jc w:val="both"/>
      </w:pPr>
      <w:r>
        <w:rPr>
          <w:rFonts w:hint="eastAsia"/>
          <w:sz w:val="32"/>
          <w:szCs w:val="32"/>
        </w:rPr>
        <w:t>七、一般公共预算项目支出决算情况说明</w:t>
      </w:r>
    </w:p>
    <w:p>
      <w:pPr>
        <w:spacing w:before="100" w:beforeAutospacing="1" w:after="100" w:afterAutospacing="1" w:line="360" w:lineRule="auto"/>
        <w:jc w:val="both"/>
      </w:pPr>
      <w:r>
        <w:rPr>
          <w:rFonts w:hint="eastAsia"/>
          <w:sz w:val="32"/>
          <w:szCs w:val="32"/>
        </w:rPr>
        <w:t>八、财政拨款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经费支出决算情况说明</w:t>
      </w:r>
    </w:p>
    <w:p>
      <w:pPr>
        <w:spacing w:before="100" w:beforeAutospacing="1" w:after="100" w:afterAutospacing="1" w:line="360" w:lineRule="auto"/>
        <w:jc w:val="both"/>
      </w:pPr>
      <w:r>
        <w:rPr>
          <w:rFonts w:hint="eastAsia"/>
          <w:sz w:val="32"/>
          <w:szCs w:val="32"/>
        </w:rPr>
        <w:t>九、政府性基金预算财政拨款支出决算情况说明</w:t>
      </w:r>
    </w:p>
    <w:p>
      <w:pPr>
        <w:spacing w:before="100" w:beforeAutospacing="1" w:after="100" w:afterAutospacing="1" w:line="360" w:lineRule="auto"/>
        <w:jc w:val="both"/>
      </w:pPr>
      <w:r>
        <w:rPr>
          <w:rFonts w:hint="eastAsia"/>
          <w:sz w:val="32"/>
          <w:szCs w:val="32"/>
        </w:rPr>
        <w:t>十、国有资本经营预算财政拨款支出决算情况说明</w:t>
      </w:r>
    </w:p>
    <w:p>
      <w:pPr>
        <w:spacing w:before="100" w:beforeAutospacing="1" w:after="100" w:afterAutospacing="1" w:line="360" w:lineRule="auto"/>
        <w:jc w:val="both"/>
      </w:pPr>
      <w:r>
        <w:rPr>
          <w:rFonts w:hint="eastAsia"/>
          <w:sz w:val="32"/>
          <w:szCs w:val="32"/>
        </w:rPr>
        <w:t>十一、项目支出决算情况说明</w:t>
      </w:r>
    </w:p>
    <w:p>
      <w:pPr>
        <w:spacing w:before="100" w:beforeAutospacing="1" w:after="100" w:afterAutospacing="1" w:line="360" w:lineRule="auto"/>
        <w:jc w:val="both"/>
      </w:pPr>
      <w:r>
        <w:rPr>
          <w:rFonts w:hint="eastAsia"/>
          <w:sz w:val="32"/>
          <w:szCs w:val="32"/>
        </w:rPr>
        <w:t>十二、机构运行经费支出决算情况说明</w:t>
      </w:r>
    </w:p>
    <w:p>
      <w:pPr>
        <w:spacing w:before="100" w:beforeAutospacing="1" w:after="100" w:afterAutospacing="1" w:line="360" w:lineRule="auto"/>
        <w:jc w:val="both"/>
      </w:pPr>
      <w:r>
        <w:rPr>
          <w:rFonts w:hint="eastAsia"/>
          <w:sz w:val="32"/>
          <w:szCs w:val="32"/>
        </w:rPr>
        <w:t>十三、政府采购支出决算情况说明</w:t>
      </w:r>
    </w:p>
    <w:p>
      <w:pPr>
        <w:spacing w:before="100" w:beforeAutospacing="1" w:after="100" w:afterAutospacing="1" w:line="360" w:lineRule="auto"/>
        <w:jc w:val="both"/>
      </w:pPr>
      <w:r>
        <w:rPr>
          <w:rFonts w:hint="eastAsia"/>
          <w:sz w:val="32"/>
          <w:szCs w:val="32"/>
        </w:rPr>
        <w:t>十四、国有资产占用情况说明</w:t>
      </w:r>
    </w:p>
    <w:p>
      <w:pPr>
        <w:spacing w:before="100" w:beforeAutospacing="1" w:after="100" w:afterAutospacing="1" w:line="360" w:lineRule="auto"/>
        <w:jc w:val="both"/>
      </w:pPr>
      <w:r>
        <w:rPr>
          <w:rFonts w:hint="eastAsia"/>
          <w:sz w:val="32"/>
          <w:szCs w:val="32"/>
        </w:rPr>
        <w:t>十五、预算绩效情况说明</w:t>
      </w:r>
    </w:p>
    <w:p>
      <w:pPr>
        <w:spacing w:before="100" w:beforeAutospacing="1" w:after="100" w:afterAutospacing="1" w:line="360" w:lineRule="auto"/>
        <w:jc w:val="both"/>
      </w:pPr>
      <w:r>
        <w:rPr>
          <w:rFonts w:hint="eastAsia" w:ascii="黑体" w:hAnsi="黑体" w:eastAsia="黑体"/>
          <w:sz w:val="32"/>
          <w:szCs w:val="32"/>
        </w:rPr>
        <w:t>第三部分 名词解释</w:t>
      </w:r>
    </w:p>
    <w:p>
      <w:pPr>
        <w:spacing w:before="100" w:beforeAutospacing="1" w:after="100" w:afterAutospacing="1" w:line="600" w:lineRule="atLeast"/>
        <w:jc w:val="both"/>
      </w:pPr>
      <w:r>
        <w:rPr>
          <w:rFonts w:hint="eastAsia" w:ascii="黑体" w:hAnsi="黑体" w:eastAsia="黑体"/>
          <w:sz w:val="32"/>
          <w:szCs w:val="32"/>
        </w:rPr>
        <w:t>第四部分 决算公开联系方式及信息反馈渠道</w:t>
      </w:r>
    </w:p>
    <w:p>
      <w:pPr>
        <w:spacing w:before="100" w:beforeAutospacing="1" w:after="100" w:afterAutospacing="1" w:line="360" w:lineRule="auto"/>
        <w:jc w:val="both"/>
      </w:pPr>
      <w:r>
        <w:rPr>
          <w:rFonts w:hint="eastAsia" w:ascii="黑体" w:hAnsi="黑体" w:eastAsia="黑体"/>
          <w:sz w:val="32"/>
          <w:szCs w:val="32"/>
        </w:rPr>
        <w:t>第五部分 2022年度部门决算表</w:t>
      </w:r>
    </w:p>
    <w:p>
      <w:pPr>
        <w:spacing w:before="100" w:beforeAutospacing="1" w:after="100" w:afterAutospacing="1" w:line="360" w:lineRule="auto"/>
        <w:jc w:val="both"/>
      </w:pPr>
      <w:r>
        <w:rPr>
          <w:rFonts w:hint="eastAsia"/>
          <w:sz w:val="32"/>
          <w:szCs w:val="32"/>
        </w:rPr>
        <w:t>一、收入支出决算总表</w:t>
      </w:r>
    </w:p>
    <w:p>
      <w:pPr>
        <w:spacing w:before="100" w:beforeAutospacing="1" w:after="100" w:afterAutospacing="1" w:line="360" w:lineRule="auto"/>
        <w:jc w:val="both"/>
      </w:pPr>
      <w:r>
        <w:rPr>
          <w:rFonts w:hint="eastAsia"/>
          <w:sz w:val="32"/>
          <w:szCs w:val="32"/>
        </w:rPr>
        <w:t>二、收入决算表</w:t>
      </w:r>
    </w:p>
    <w:p>
      <w:pPr>
        <w:spacing w:before="100" w:beforeAutospacing="1" w:after="100" w:afterAutospacing="1" w:line="360" w:lineRule="auto"/>
        <w:jc w:val="both"/>
      </w:pPr>
      <w:r>
        <w:rPr>
          <w:rFonts w:hint="eastAsia"/>
          <w:sz w:val="32"/>
          <w:szCs w:val="32"/>
        </w:rPr>
        <w:t>三、支出决算表</w:t>
      </w:r>
    </w:p>
    <w:p>
      <w:pPr>
        <w:spacing w:before="100" w:beforeAutospacing="1" w:after="100" w:afterAutospacing="1" w:line="360" w:lineRule="auto"/>
        <w:jc w:val="both"/>
      </w:pPr>
      <w:r>
        <w:rPr>
          <w:rFonts w:hint="eastAsia"/>
          <w:sz w:val="32"/>
          <w:szCs w:val="32"/>
        </w:rPr>
        <w:t>四、财政拨款收入支出决算总表</w:t>
      </w:r>
    </w:p>
    <w:p>
      <w:pPr>
        <w:spacing w:before="100" w:beforeAutospacing="1" w:after="100" w:afterAutospacing="1" w:line="360" w:lineRule="auto"/>
        <w:jc w:val="both"/>
      </w:pPr>
      <w:r>
        <w:rPr>
          <w:rFonts w:hint="eastAsia"/>
          <w:sz w:val="32"/>
          <w:szCs w:val="32"/>
        </w:rPr>
        <w:t>五、项目收入支出决算表</w:t>
      </w:r>
    </w:p>
    <w:p>
      <w:pPr>
        <w:spacing w:before="100" w:beforeAutospacing="1" w:after="100" w:afterAutospacing="1" w:line="360" w:lineRule="auto"/>
        <w:jc w:val="both"/>
      </w:pPr>
      <w:r>
        <w:rPr>
          <w:rFonts w:hint="eastAsia"/>
          <w:sz w:val="32"/>
          <w:szCs w:val="32"/>
        </w:rPr>
        <w:t>六、一般公共预算财政拨款支出决算表</w:t>
      </w:r>
    </w:p>
    <w:p>
      <w:pPr>
        <w:spacing w:before="100" w:beforeAutospacing="1" w:after="100" w:afterAutospacing="1" w:line="360" w:lineRule="auto"/>
        <w:jc w:val="both"/>
      </w:pPr>
      <w:r>
        <w:rPr>
          <w:rFonts w:hint="eastAsia"/>
          <w:sz w:val="32"/>
          <w:szCs w:val="32"/>
        </w:rPr>
        <w:t>七、一般公共预算财政拨款基本支出决算明细表</w:t>
      </w:r>
    </w:p>
    <w:p>
      <w:pPr>
        <w:spacing w:before="100" w:beforeAutospacing="1" w:after="100" w:afterAutospacing="1" w:line="360" w:lineRule="auto"/>
        <w:jc w:val="both"/>
      </w:pPr>
      <w:r>
        <w:rPr>
          <w:rFonts w:hint="eastAsia"/>
          <w:color w:val="000000"/>
          <w:sz w:val="32"/>
          <w:szCs w:val="32"/>
        </w:rPr>
        <w:t>八、一般公共预算财政拨款项目支出决算明细表</w:t>
      </w:r>
    </w:p>
    <w:p>
      <w:pPr>
        <w:spacing w:before="100" w:beforeAutospacing="1" w:after="100" w:afterAutospacing="1" w:line="360" w:lineRule="auto"/>
        <w:jc w:val="both"/>
      </w:pPr>
      <w:r>
        <w:rPr>
          <w:rFonts w:hint="eastAsia"/>
          <w:color w:val="000000"/>
          <w:sz w:val="32"/>
          <w:szCs w:val="32"/>
        </w:rPr>
        <w:t>九、政府性基金预算财政拨款收入支出决算表</w:t>
      </w:r>
    </w:p>
    <w:p>
      <w:pPr>
        <w:spacing w:before="100" w:beforeAutospacing="1" w:after="100" w:afterAutospacing="1" w:line="360" w:lineRule="auto"/>
        <w:jc w:val="both"/>
      </w:pPr>
      <w:r>
        <w:rPr>
          <w:rFonts w:hint="eastAsia"/>
          <w:color w:val="000000"/>
          <w:sz w:val="32"/>
          <w:szCs w:val="32"/>
        </w:rPr>
        <w:t>十、国有资本经营预算财政拨款支出决算表</w:t>
      </w:r>
    </w:p>
    <w:p>
      <w:pPr>
        <w:spacing w:before="100" w:beforeAutospacing="1" w:after="100" w:afterAutospacing="1" w:line="360" w:lineRule="auto"/>
        <w:jc w:val="both"/>
      </w:pPr>
      <w:r>
        <w:rPr>
          <w:rFonts w:hint="eastAsia"/>
          <w:color w:val="000000"/>
          <w:sz w:val="32"/>
          <w:szCs w:val="32"/>
        </w:rPr>
        <w:t>十一、财政拨款</w:t>
      </w:r>
      <w:r>
        <w:rPr>
          <w:rFonts w:ascii="Times New Roman" w:hAnsi="Times New Roman" w:cs="Times New Roman"/>
          <w:color w:val="000000"/>
          <w:sz w:val="32"/>
          <w:szCs w:val="32"/>
        </w:rPr>
        <w:t>“</w:t>
      </w:r>
      <w:r>
        <w:rPr>
          <w:rFonts w:hint="eastAsia"/>
          <w:color w:val="000000"/>
          <w:sz w:val="32"/>
          <w:szCs w:val="32"/>
        </w:rPr>
        <w:t>三公</w:t>
      </w:r>
      <w:r>
        <w:rPr>
          <w:rFonts w:ascii="Times New Roman" w:hAnsi="Times New Roman" w:cs="Times New Roman"/>
          <w:color w:val="000000"/>
          <w:sz w:val="32"/>
          <w:szCs w:val="32"/>
        </w:rPr>
        <w:t>”</w:t>
      </w:r>
      <w:r>
        <w:rPr>
          <w:rFonts w:hint="eastAsia"/>
          <w:color w:val="000000"/>
          <w:sz w:val="32"/>
          <w:szCs w:val="32"/>
        </w:rPr>
        <w:t>经费支出决算表</w:t>
      </w:r>
    </w:p>
    <w:p>
      <w:pPr>
        <w:spacing w:before="100" w:beforeAutospacing="1" w:after="100" w:afterAutospacing="1" w:line="360" w:lineRule="auto"/>
        <w:jc w:val="both"/>
      </w:pPr>
      <w:r>
        <w:rPr>
          <w:rFonts w:hint="eastAsia"/>
          <w:color w:val="000000"/>
          <w:sz w:val="32"/>
          <w:szCs w:val="32"/>
        </w:rPr>
        <w:t>十二、机构运行经费支出、国有资产占用情况及政府采购支出信息表</w:t>
      </w:r>
    </w:p>
    <w:p>
      <w:pPr>
        <w:spacing w:before="100" w:beforeAutospacing="1" w:after="100" w:afterAutospacing="1" w:line="360" w:lineRule="auto"/>
        <w:jc w:val="both"/>
      </w:pPr>
      <w:r>
        <w:rPr>
          <w:rFonts w:ascii="Times New Roman" w:hAnsi="Times New Roman" w:cs="Times New Roman"/>
          <w:sz w:val="32"/>
          <w:szCs w:val="32"/>
        </w:rPr>
        <w:t> </w:t>
      </w:r>
    </w:p>
    <w:p>
      <w:pPr>
        <w:spacing w:before="100" w:beforeAutospacing="1" w:after="100" w:afterAutospacing="1" w:line="360" w:lineRule="auto"/>
        <w:jc w:val="both"/>
      </w:pPr>
      <w:r>
        <w:rPr>
          <w:rFonts w:ascii="Times New Roman" w:hAnsi="Times New Roman" w:cs="Times New Roman"/>
          <w:sz w:val="32"/>
          <w:szCs w:val="32"/>
        </w:rPr>
        <w:t> </w:t>
      </w:r>
    </w:p>
    <w:p>
      <w:pPr>
        <w:spacing w:before="100" w:beforeAutospacing="1" w:after="100" w:afterAutospacing="1" w:line="360" w:lineRule="auto"/>
        <w:jc w:val="both"/>
        <w:rPr>
          <w:rFonts w:ascii="Times New Roman" w:hAnsi="Times New Roman" w:cs="Times New Roman"/>
          <w:sz w:val="32"/>
          <w:szCs w:val="32"/>
        </w:rPr>
      </w:pPr>
      <w:r>
        <w:rPr>
          <w:rFonts w:ascii="Times New Roman" w:hAnsi="Times New Roman" w:cs="Times New Roman"/>
          <w:sz w:val="32"/>
          <w:szCs w:val="32"/>
        </w:rPr>
        <w:t> </w:t>
      </w:r>
    </w:p>
    <w:p>
      <w:pPr>
        <w:spacing w:before="100" w:beforeAutospacing="1" w:after="100" w:afterAutospacing="1" w:line="360" w:lineRule="auto"/>
        <w:jc w:val="both"/>
        <w:rPr>
          <w:rFonts w:ascii="Times New Roman" w:hAnsi="Times New Roman" w:cs="Times New Roman"/>
          <w:sz w:val="32"/>
          <w:szCs w:val="32"/>
        </w:rPr>
      </w:pPr>
    </w:p>
    <w:p>
      <w:pPr>
        <w:spacing w:before="100" w:beforeAutospacing="1" w:after="100" w:afterAutospacing="1" w:line="360" w:lineRule="auto"/>
        <w:jc w:val="both"/>
        <w:rPr>
          <w:rFonts w:ascii="Times New Roman" w:hAnsi="Times New Roman" w:cs="Times New Roman"/>
          <w:sz w:val="32"/>
          <w:szCs w:val="32"/>
        </w:rPr>
      </w:pPr>
    </w:p>
    <w:p>
      <w:pPr>
        <w:spacing w:before="100" w:beforeAutospacing="1" w:after="100" w:afterAutospacing="1" w:line="360" w:lineRule="auto"/>
        <w:jc w:val="both"/>
        <w:rPr>
          <w:rFonts w:ascii="Times New Roman" w:hAnsi="Times New Roman" w:cs="Times New Roman"/>
          <w:sz w:val="32"/>
          <w:szCs w:val="32"/>
        </w:rPr>
      </w:pPr>
    </w:p>
    <w:p>
      <w:pPr>
        <w:spacing w:before="100" w:beforeAutospacing="1" w:after="100" w:afterAutospacing="1" w:line="360" w:lineRule="auto"/>
        <w:jc w:val="both"/>
        <w:rPr>
          <w:rFonts w:ascii="Times New Roman" w:hAnsi="Times New Roman" w:cs="Times New Roman"/>
          <w:sz w:val="32"/>
          <w:szCs w:val="32"/>
        </w:rPr>
      </w:pPr>
    </w:p>
    <w:p>
      <w:pPr>
        <w:spacing w:before="100" w:beforeAutospacing="1" w:after="100" w:afterAutospacing="1" w:line="360" w:lineRule="auto"/>
        <w:jc w:val="both"/>
        <w:rPr>
          <w:rFonts w:ascii="Times New Roman" w:hAnsi="Times New Roman" w:cs="Times New Roman"/>
          <w:sz w:val="32"/>
          <w:szCs w:val="32"/>
        </w:rPr>
      </w:pPr>
    </w:p>
    <w:p>
      <w:pPr>
        <w:pStyle w:val="3"/>
        <w:keepNext/>
        <w:spacing w:line="600" w:lineRule="atLeast"/>
        <w:jc w:val="center"/>
      </w:pPr>
      <w:r>
        <w:rPr>
          <w:rFonts w:hint="eastAsia" w:ascii="方正小标宋简体" w:eastAsia="方正小标宋简体"/>
        </w:rPr>
        <w:t>第一部分  部门概况</w:t>
      </w:r>
    </w:p>
    <w:p>
      <w:pPr>
        <w:spacing w:before="100" w:beforeAutospacing="1" w:after="100" w:afterAutospacing="1" w:line="600" w:lineRule="atLeast"/>
        <w:ind w:firstLine="643" w:firstLineChars="200"/>
        <w:jc w:val="both"/>
      </w:pPr>
      <w:r>
        <w:rPr>
          <w:rFonts w:hint="eastAsia" w:ascii="黑体" w:hAnsi="黑体" w:eastAsia="黑体"/>
          <w:b/>
          <w:bCs/>
          <w:sz w:val="32"/>
          <w:szCs w:val="32"/>
        </w:rPr>
        <w:t>一、主要职能、职责</w:t>
      </w:r>
    </w:p>
    <w:p>
      <w:pPr>
        <w:spacing w:before="100" w:beforeAutospacing="1" w:after="100" w:afterAutospacing="1" w:line="600" w:lineRule="atLeast"/>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一、 主要职能职责</w:t>
      </w:r>
    </w:p>
    <w:p>
      <w:pPr>
        <w:spacing w:before="100" w:beforeAutospacing="1" w:after="100" w:afterAutospacing="1" w:line="600" w:lineRule="atLeast"/>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根据中共内蒙古自治区委员会机构编制委员会印发的 《关于自治区市场监督管理局所属事业单位机构职能的批 复》(内机编办发〔2020〕148号),设立内蒙古自治区特 种设备检验研究院，为自治区市场监督管理局所属相当于正处级公益二类事业单位。</w:t>
      </w:r>
    </w:p>
    <w:p>
      <w:pPr>
        <w:spacing w:before="100" w:beforeAutospacing="1" w:after="100" w:afterAutospacing="1" w:line="600" w:lineRule="atLeast"/>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主要职责为：1.开展特种设备(含进口)监督检验、定期检验、仲裁检验、司法鉴定、型式试验、锅炉水(介)质检验、无损 检测、能效测试、材料分析、环保检测、安全阀校验及其他阁门检验。</w:t>
      </w:r>
    </w:p>
    <w:p>
      <w:pPr>
        <w:spacing w:before="100" w:beforeAutospacing="1" w:after="100" w:afterAutospacing="1" w:line="600" w:lineRule="atLeast"/>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2.承担特种设备安全附件、仪表及安全保护装置的检验工作。</w:t>
      </w:r>
    </w:p>
    <w:p>
      <w:pPr>
        <w:spacing w:before="100" w:beforeAutospacing="1" w:after="100" w:afterAutospacing="1" w:line="600" w:lineRule="atLeast"/>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3.开展长输管道、公用管道、厂(场)内机动车辆、大型游乐设施等野外在用特种设备检验检测工作。</w:t>
      </w:r>
    </w:p>
    <w:p>
      <w:pPr>
        <w:spacing w:before="100" w:beforeAutospacing="1" w:after="100" w:afterAutospacing="1" w:line="600" w:lineRule="atLeast"/>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4.承担安全生产、职业卫生、烟花爆竹、劳动防护用品等检测与评价工作。</w:t>
      </w:r>
    </w:p>
    <w:p>
      <w:pPr>
        <w:spacing w:before="100" w:beforeAutospacing="1" w:after="100" w:afterAutospacing="1" w:line="600" w:lineRule="atLeast"/>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5.承担安全生产、特种设备及相关领域从业人员的法规宣传、技能培训，协助做好从业人员相关考核工作。</w:t>
      </w:r>
    </w:p>
    <w:p>
      <w:pPr>
        <w:spacing w:before="100" w:beforeAutospacing="1" w:after="100" w:afterAutospacing="1" w:line="600" w:lineRule="atLeast"/>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6.承担特种设备相关科学研究、成果转化和推广应用工作。</w:t>
      </w:r>
    </w:p>
    <w:p>
      <w:pPr>
        <w:spacing w:before="100" w:beforeAutospacing="1" w:after="100" w:afterAutospacing="1" w:line="600" w:lineRule="atLeast"/>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7.按取得资质开展相关业外及共他委托性检验检测、技术服务工作。</w:t>
      </w:r>
    </w:p>
    <w:p>
      <w:pPr>
        <w:spacing w:before="100" w:beforeAutospacing="1" w:after="100" w:afterAutospacing="1" w:line="600" w:lineRule="atLeast"/>
        <w:ind w:firstLine="643" w:firstLineChars="200"/>
        <w:jc w:val="both"/>
      </w:pPr>
      <w:r>
        <w:rPr>
          <w:rFonts w:hint="eastAsia" w:ascii="黑体" w:hAnsi="黑体" w:eastAsia="黑体"/>
          <w:b/>
          <w:bCs/>
          <w:sz w:val="32"/>
          <w:szCs w:val="32"/>
        </w:rPr>
        <w:t>二、部门机构设置及决算单位构成情况</w:t>
      </w:r>
    </w:p>
    <w:p>
      <w:pPr>
        <w:spacing w:before="100" w:beforeAutospacing="1" w:after="100" w:afterAutospacing="1" w:line="360" w:lineRule="auto"/>
        <w:ind w:firstLine="640" w:firstLineChars="200"/>
        <w:jc w:val="both"/>
        <w:rPr>
          <w:sz w:val="32"/>
          <w:szCs w:val="32"/>
        </w:rPr>
      </w:pPr>
      <w:r>
        <w:rPr>
          <w:rFonts w:ascii="Times New Roman" w:hAnsi="Times New Roman" w:cs="Times New Roman"/>
          <w:sz w:val="32"/>
          <w:szCs w:val="32"/>
        </w:rPr>
        <w:t>1.</w:t>
      </w:r>
      <w:r>
        <w:rPr>
          <w:rFonts w:hint="eastAsia"/>
        </w:rPr>
        <w:t xml:space="preserve"> </w:t>
      </w:r>
      <w:r>
        <w:rPr>
          <w:rFonts w:hint="eastAsia"/>
          <w:sz w:val="32"/>
          <w:szCs w:val="32"/>
        </w:rPr>
        <w:t>根据部门（单位）职责分工，本部门（单位）内蒙古自治区特种设备检验研究院自治区院，核定事业编制66名，核定单位领导职数4名(2正2副),科级领导职数18名【12正(含总工程师1名)6副】。内设正科级机构11个：党建办公室、综合管理部、计划财务部、业务与科研管理部、电梯检验部、机电设备与安全生产检验部、锅炉与安 全附件检验部、压力容器检验部、压力管道检验部、气瓶检验部、职业卫生评价与节能服务部。事业编在职人员62人，聘用人员254人，退休人员60人。下设驻盟市副处级分院11个、正科级分院2个，为总院分支机构，主要职责任务是：按资质完成总院分配的特种设备检验及相关工作。13个分支机构共核定事业编制527名， 核定11个副处级分院领导职数44名【11正(分院院长11名，副处级)33副(分院副院长33名，正科级)】,分院内设机构科级领导职数88名(55正33副);核定2个正科级分院领导职数6名【2正(分院院长2名，正科级)4副(分院副院长4名，副科级)】。</w:t>
      </w:r>
    </w:p>
    <w:p>
      <w:pPr>
        <w:spacing w:before="100" w:beforeAutospacing="1" w:after="100" w:afterAutospacing="1" w:line="360" w:lineRule="auto"/>
        <w:ind w:firstLine="640" w:firstLineChars="200"/>
        <w:jc w:val="both"/>
        <w:rPr>
          <w:sz w:val="32"/>
          <w:szCs w:val="32"/>
        </w:rPr>
      </w:pPr>
      <w:r>
        <w:rPr>
          <w:rFonts w:hint="eastAsia"/>
          <w:sz w:val="32"/>
          <w:szCs w:val="32"/>
        </w:rPr>
        <w:t>2．从预算单位构成看，内蒙古自治区特种设备检验研究 院为内蒙古自治区市场监督管理局所属预算二级单位，下设 含内蒙古自治区特种设备检验研究院本级及13个盟市分院共计14个预算三级单位。详细情况见表：</w:t>
      </w:r>
    </w:p>
    <w:tbl>
      <w:tblPr>
        <w:tblStyle w:val="17"/>
        <w:tblW w:w="85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0"/>
        <w:gridCol w:w="5053"/>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216" w:lineRule="auto"/>
              <w:jc w:val="center"/>
              <w:rPr>
                <w:rFonts w:asciiTheme="minorEastAsia" w:hAnsiTheme="minorEastAsia" w:eastAsiaTheme="minorEastAsia"/>
                <w:sz w:val="21"/>
                <w:szCs w:val="21"/>
              </w:rPr>
            </w:pPr>
            <w:r>
              <w:rPr>
                <w:rFonts w:hint="eastAsia" w:asciiTheme="minorEastAsia" w:hAnsiTheme="minorEastAsia" w:eastAsiaTheme="minorEastAsia"/>
                <w:b/>
                <w:bCs/>
                <w:spacing w:val="-4"/>
                <w:sz w:val="21"/>
                <w:szCs w:val="21"/>
              </w:rPr>
              <w:t>预算编码</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center"/>
              <w:rPr>
                <w:rFonts w:asciiTheme="minorEastAsia" w:hAnsiTheme="minorEastAsia" w:eastAsiaTheme="minorEastAsia"/>
                <w:sz w:val="21"/>
                <w:szCs w:val="21"/>
              </w:rPr>
            </w:pPr>
            <w:r>
              <w:rPr>
                <w:rFonts w:hint="eastAsia" w:asciiTheme="minorEastAsia" w:hAnsiTheme="minorEastAsia" w:eastAsiaTheme="minorEastAsia"/>
                <w:spacing w:val="12"/>
                <w:sz w:val="21"/>
                <w:szCs w:val="21"/>
              </w:rPr>
              <w:t>单位名称</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center"/>
              <w:rPr>
                <w:rFonts w:asciiTheme="minorEastAsia" w:hAnsiTheme="minorEastAsia" w:eastAsiaTheme="minorEastAsia"/>
                <w:sz w:val="21"/>
                <w:szCs w:val="21"/>
              </w:rPr>
            </w:pPr>
            <w:r>
              <w:rPr>
                <w:rFonts w:hint="eastAsia" w:asciiTheme="minorEastAsia" w:hAnsiTheme="minorEastAsia" w:eastAsiaTheme="minorEastAsia"/>
                <w:spacing w:val="5"/>
                <w:sz w:val="21"/>
                <w:szCs w:val="21"/>
              </w:rPr>
              <w:t>单位性质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509046001</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pacing w:val="6"/>
                <w:sz w:val="21"/>
                <w:szCs w:val="21"/>
              </w:rPr>
              <w:t>内蒙古自治区特种设备检验研究院(本级)</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asciiTheme="minorEastAsia" w:hAnsiTheme="minorEastAsia" w:eastAsiaTheme="minorEastAsia"/>
                <w:spacing w:val="-1"/>
                <w:sz w:val="21"/>
                <w:szCs w:val="21"/>
              </w:rPr>
              <w:t>5</w:t>
            </w:r>
            <w:r>
              <w:rPr>
                <w:rFonts w:hint="eastAsia" w:asciiTheme="minorEastAsia" w:hAnsiTheme="minorEastAsia" w:eastAsiaTheme="minorEastAsia"/>
                <w:spacing w:val="-1"/>
                <w:sz w:val="21"/>
                <w:szCs w:val="21"/>
              </w:rPr>
              <w:t>09046002</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内蒙古自治区特种设备检验研究院呼伦贝尔分院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509046003</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内蒙古自治区特种设备检验研究院兴安分院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509046004</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内蒙古自治区特种设备检验研究院通辽分院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509046005</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内蒙古自治区特种设备检验研究院锡林郭勒分院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509046006</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内蒙古自治区特种设备检验研究院乌兰察布分院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509046007</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内蒙古自治区特种设备检验研究院鄂尔多斯分院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509046008</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内蒙古自治区特种设备检验研究院巴彦淖尔分院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509046009</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内蒙古自治区特种设备检验研究院阿拉善分院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509046010</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内蒙古自治区特种设备检验研究院包头分院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509046011</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内蒙古自治区特种设备检验研究院乌海分院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509046012</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pacing w:val="1"/>
                <w:sz w:val="21"/>
                <w:szCs w:val="21"/>
              </w:rPr>
              <w:t>内蒙古自治区特种设备检验研究院赤峰分院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509046013</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内蒙古自治区特种设备检验研究院二连分院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340" w:type="dxa"/>
            <w:tcBorders>
              <w:top w:val="single" w:color="000000" w:sz="4" w:space="0"/>
              <w:left w:val="single" w:color="000000" w:sz="4" w:space="0"/>
              <w:bottom w:val="single" w:color="000000" w:sz="4" w:space="0"/>
              <w:right w:val="single" w:color="000000" w:sz="4" w:space="0"/>
            </w:tcBorders>
            <w:vAlign w:val="center"/>
          </w:tcPr>
          <w:p>
            <w:pPr>
              <w:spacing w:line="180"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509046014</w:t>
            </w:r>
          </w:p>
        </w:tc>
        <w:tc>
          <w:tcPr>
            <w:tcW w:w="5053" w:type="dxa"/>
            <w:tcBorders>
              <w:top w:val="single" w:color="000000" w:sz="4" w:space="0"/>
              <w:left w:val="single" w:color="000000" w:sz="4" w:space="0"/>
              <w:bottom w:val="single" w:color="000000" w:sz="4" w:space="0"/>
              <w:right w:val="single" w:color="000000" w:sz="4" w:space="0"/>
            </w:tcBorders>
            <w:vAlign w:val="center"/>
          </w:tcPr>
          <w:p>
            <w:pPr>
              <w:spacing w:line="216" w:lineRule="auto"/>
              <w:jc w:val="both"/>
              <w:rPr>
                <w:rFonts w:asciiTheme="minorEastAsia" w:hAnsiTheme="minorEastAsia" w:eastAsiaTheme="minorEastAsia"/>
                <w:sz w:val="21"/>
                <w:szCs w:val="21"/>
              </w:rPr>
            </w:pPr>
            <w:r>
              <w:rPr>
                <w:rFonts w:hint="eastAsia" w:asciiTheme="minorEastAsia" w:hAnsiTheme="minorEastAsia" w:eastAsiaTheme="minorEastAsia"/>
                <w:spacing w:val="2"/>
                <w:sz w:val="21"/>
                <w:szCs w:val="21"/>
              </w:rPr>
              <w:t>内蒙古自治区特种设备检验研究院满洲里分院</w:t>
            </w:r>
          </w:p>
        </w:tc>
        <w:tc>
          <w:tcPr>
            <w:tcW w:w="2127" w:type="dxa"/>
            <w:tcBorders>
              <w:top w:val="single" w:color="000000" w:sz="4" w:space="0"/>
              <w:left w:val="single" w:color="000000" w:sz="4" w:space="0"/>
              <w:bottom w:val="single" w:color="000000" w:sz="4" w:space="0"/>
              <w:right w:val="single" w:color="000000" w:sz="4" w:space="0"/>
            </w:tcBorders>
            <w:vAlign w:val="center"/>
          </w:tcPr>
          <w:p>
            <w:pPr>
              <w:spacing w:line="216" w:lineRule="auto"/>
              <w:jc w:val="right"/>
              <w:rPr>
                <w:rFonts w:asciiTheme="minorEastAsia" w:hAnsiTheme="minorEastAsia" w:eastAsiaTheme="minorEastAsia"/>
                <w:sz w:val="21"/>
                <w:szCs w:val="21"/>
              </w:rPr>
            </w:pPr>
            <w:r>
              <w:rPr>
                <w:rFonts w:hint="eastAsia" w:asciiTheme="minorEastAsia" w:hAnsiTheme="minorEastAsia" w:eastAsiaTheme="minorEastAsia"/>
                <w:sz w:val="21"/>
                <w:szCs w:val="21"/>
              </w:rPr>
              <w:t>公益二类事业单位</w:t>
            </w:r>
          </w:p>
        </w:tc>
      </w:tr>
    </w:tbl>
    <w:p>
      <w:pPr>
        <w:spacing w:before="100" w:beforeAutospacing="1" w:after="100" w:afterAutospacing="1" w:line="600" w:lineRule="atLeast"/>
        <w:ind w:firstLine="643" w:firstLineChars="200"/>
        <w:jc w:val="both"/>
      </w:pPr>
      <w:r>
        <w:rPr>
          <w:rFonts w:hint="eastAsia" w:ascii="黑体" w:hAnsi="黑体" w:eastAsia="黑体"/>
          <w:b/>
          <w:bCs/>
          <w:sz w:val="32"/>
          <w:szCs w:val="32"/>
        </w:rPr>
        <w:t>三、</w:t>
      </w:r>
      <w:r>
        <w:rPr>
          <w:rFonts w:hint="eastAsia"/>
          <w:b/>
          <w:bCs/>
          <w:sz w:val="32"/>
          <w:szCs w:val="32"/>
        </w:rPr>
        <w:t>2022</w:t>
      </w:r>
      <w:r>
        <w:rPr>
          <w:rFonts w:hint="eastAsia" w:ascii="黑体" w:hAnsi="黑体" w:eastAsia="黑体"/>
          <w:b/>
          <w:bCs/>
          <w:sz w:val="32"/>
          <w:szCs w:val="32"/>
        </w:rPr>
        <w:t>年度部门主要工作完成情况</w:t>
      </w:r>
    </w:p>
    <w:p>
      <w:pPr>
        <w:spacing w:before="240" w:after="240"/>
        <w:ind w:firstLine="640" w:firstLineChars="200"/>
        <w:jc w:val="both"/>
        <w:rPr>
          <w:sz w:val="32"/>
          <w:szCs w:val="32"/>
        </w:rPr>
      </w:pPr>
      <w:r>
        <w:rPr>
          <w:rFonts w:ascii="Times New Roman" w:hAnsi="Times New Roman" w:cs="Times New Roman"/>
          <w:sz w:val="32"/>
          <w:szCs w:val="32"/>
        </w:rPr>
        <w:t> </w:t>
      </w:r>
      <w:r>
        <w:rPr>
          <w:rFonts w:hint="eastAsia"/>
          <w:sz w:val="32"/>
          <w:szCs w:val="32"/>
        </w:rPr>
        <w:t>2022年全年共承检各类特种设备173569台（含锅炉7019台、压力容器40302台、电梯98591台、医用氧舱51台、起重机械13378台、厂车13126台、大型游乐设施243台、危险化学品承压罐车859台），压力管道2305.37千米，安全附件9006个，各类气瓶264213只，危险化学品常压罐车1935台，安全阀校验124301只。锅炉设计文件鉴定和节能审查50套，特种设备作业人员考核发证15329人，检测锅炉水样、金属材料、煤灰分析5415批次。电梯应急平台录入新增信息310台，数据更新18012台，接警714起，电梯故障176通，职业卫生检测评价项目完成139个。全年出具各类检验检测报告38万余份。</w:t>
      </w:r>
    </w:p>
    <w:p>
      <w:pPr>
        <w:spacing w:before="240" w:after="240"/>
        <w:ind w:firstLine="640" w:firstLineChars="200"/>
        <w:jc w:val="both"/>
        <w:rPr>
          <w:sz w:val="32"/>
          <w:szCs w:val="32"/>
        </w:rPr>
      </w:pPr>
      <w:r>
        <w:rPr>
          <w:rFonts w:hint="eastAsia"/>
          <w:sz w:val="32"/>
          <w:szCs w:val="32"/>
        </w:rPr>
        <w:t>2022年全年实现业务总收入4.89亿元，支出进度达到了97%。</w:t>
      </w:r>
    </w:p>
    <w:p>
      <w:pPr>
        <w:pStyle w:val="3"/>
        <w:keepNext/>
        <w:spacing w:line="360" w:lineRule="auto"/>
        <w:jc w:val="center"/>
      </w:pPr>
      <w:r>
        <w:rPr>
          <w:rFonts w:hint="eastAsia" w:ascii="方正小标宋简体" w:eastAsia="方正小标宋简体"/>
        </w:rPr>
        <w:t>第二部分  2022年度部门决算情况说明</w:t>
      </w:r>
    </w:p>
    <w:p>
      <w:pPr>
        <w:spacing w:before="100" w:beforeAutospacing="1" w:after="100" w:afterAutospacing="1" w:line="600" w:lineRule="atLeast"/>
        <w:ind w:firstLine="643" w:firstLineChars="200"/>
        <w:jc w:val="both"/>
      </w:pPr>
      <w:r>
        <w:rPr>
          <w:rFonts w:hint="eastAsia" w:ascii="黑体" w:hAnsi="黑体" w:eastAsia="黑体"/>
          <w:b/>
          <w:bCs/>
          <w:sz w:val="32"/>
          <w:szCs w:val="32"/>
        </w:rPr>
        <w:t>一、收入支出决算总体情况说明</w:t>
      </w:r>
    </w:p>
    <w:p>
      <w:pPr>
        <w:spacing w:before="100" w:beforeAutospacing="1" w:after="100" w:afterAutospacing="1" w:line="560" w:lineRule="atLeast"/>
        <w:ind w:firstLine="640" w:firstLineChars="200"/>
        <w:jc w:val="both"/>
        <w:rPr>
          <w:sz w:val="32"/>
          <w:szCs w:val="32"/>
        </w:rPr>
      </w:pPr>
      <w:r>
        <w:rPr>
          <w:rFonts w:hint="eastAsia"/>
          <w:sz w:val="32"/>
          <w:szCs w:val="32"/>
        </w:rPr>
        <w:t>内蒙古自治区特种设备检验研究院部门2022年度收入、支出决算总计</w:t>
      </w:r>
      <w:r>
        <w:rPr>
          <w:rFonts w:ascii="Times New Roman" w:hAnsi="Times New Roman" w:cs="Times New Roman"/>
          <w:sz w:val="32"/>
          <w:szCs w:val="32"/>
          <w:u w:val="single"/>
        </w:rPr>
        <w:t>47,358.64</w:t>
      </w:r>
      <w:r>
        <w:rPr>
          <w:rFonts w:hint="eastAsia"/>
          <w:sz w:val="32"/>
          <w:szCs w:val="32"/>
        </w:rPr>
        <w:t>万元。与年初预算相比，收、支总计各增加</w:t>
      </w:r>
      <w:r>
        <w:rPr>
          <w:rFonts w:ascii="Times New Roman" w:hAnsi="Times New Roman" w:cs="Times New Roman"/>
          <w:sz w:val="32"/>
          <w:szCs w:val="32"/>
          <w:u w:val="single"/>
        </w:rPr>
        <w:t>4,186.83</w:t>
      </w:r>
      <w:r>
        <w:rPr>
          <w:rFonts w:hint="eastAsia"/>
          <w:sz w:val="32"/>
          <w:szCs w:val="32"/>
        </w:rPr>
        <w:t>万元，增长</w:t>
      </w:r>
      <w:r>
        <w:rPr>
          <w:rFonts w:ascii="Times New Roman" w:hAnsi="Times New Roman" w:cs="Times New Roman"/>
          <w:sz w:val="32"/>
          <w:szCs w:val="32"/>
          <w:u w:val="single"/>
        </w:rPr>
        <w:t>9.70</w:t>
      </w:r>
      <w:r>
        <w:rPr>
          <w:rFonts w:hint="eastAsia"/>
          <w:sz w:val="32"/>
          <w:szCs w:val="32"/>
        </w:rPr>
        <w:t>%，变动原因：一是经营收入年初预算数为12315万元，决算数为14390.2万元，决算数较预算数增加2075.2万元，我院本年度原有业务顺利开展，积极开拓新业务，收入较上年增加；二是年中由于工资自然增长，新进人员等原因追加了人员相关经费1953.56万元，追加了“基于动力学分析的高速电梯安全运行检测与孪生可视化技术研究”等项目经费98万元；三是收回年终结余资金847.63万元，不作为收入核算；四是申请本年预算365.71万元结转至下年使用，不列入本年收入；五是由于我院增加新的科研项目且经营收入增加，银行利息等其他收入增加了96.25万元。</w:t>
      </w:r>
    </w:p>
    <w:p>
      <w:pPr>
        <w:spacing w:before="100" w:beforeAutospacing="1" w:after="100" w:afterAutospacing="1" w:line="560" w:lineRule="atLeast"/>
        <w:ind w:firstLine="640" w:firstLineChars="200"/>
        <w:jc w:val="both"/>
        <w:rPr>
          <w:sz w:val="32"/>
          <w:szCs w:val="32"/>
        </w:rPr>
      </w:pPr>
      <w:r>
        <w:rPr>
          <w:rFonts w:hint="eastAsia"/>
          <w:sz w:val="32"/>
          <w:szCs w:val="32"/>
        </w:rPr>
        <w:t>与上年决算相比，收、支总计各增加</w:t>
      </w:r>
      <w:r>
        <w:rPr>
          <w:rFonts w:ascii="Times New Roman" w:hAnsi="Times New Roman" w:cs="Times New Roman"/>
          <w:sz w:val="32"/>
          <w:szCs w:val="32"/>
        </w:rPr>
        <w:t>2,875.46</w:t>
      </w:r>
      <w:r>
        <w:rPr>
          <w:rFonts w:hint="eastAsia"/>
          <w:sz w:val="32"/>
          <w:szCs w:val="32"/>
        </w:rPr>
        <w:t>万元，增长</w:t>
      </w:r>
      <w:r>
        <w:rPr>
          <w:rFonts w:ascii="Times New Roman" w:hAnsi="Times New Roman" w:cs="Times New Roman"/>
          <w:sz w:val="32"/>
          <w:szCs w:val="32"/>
        </w:rPr>
        <w:t>6.46</w:t>
      </w:r>
      <w:r>
        <w:rPr>
          <w:rFonts w:hint="eastAsia"/>
          <w:sz w:val="32"/>
          <w:szCs w:val="32"/>
        </w:rPr>
        <w:t>%。其中：</w:t>
      </w:r>
    </w:p>
    <w:p>
      <w:pPr>
        <w:spacing w:before="100" w:beforeAutospacing="1" w:after="100" w:afterAutospacing="1" w:line="560" w:lineRule="atLeast"/>
        <w:ind w:firstLine="643" w:firstLineChars="200"/>
        <w:jc w:val="both"/>
      </w:pPr>
      <w:r>
        <w:rPr>
          <w:rFonts w:hint="eastAsia" w:ascii="楷体" w:hAnsi="楷体" w:eastAsia="楷体"/>
          <w:b/>
          <w:bCs/>
          <w:sz w:val="32"/>
          <w:szCs w:val="32"/>
        </w:rPr>
        <w:t>（一）收入决算总计</w:t>
      </w:r>
      <w:r>
        <w:rPr>
          <w:rFonts w:ascii="Times New Roman" w:hAnsi="Times New Roman" w:cs="Times New Roman"/>
          <w:sz w:val="32"/>
          <w:szCs w:val="32"/>
        </w:rPr>
        <w:t>47,358.64</w:t>
      </w:r>
      <w:r>
        <w:rPr>
          <w:rFonts w:hint="eastAsia" w:ascii="楷体" w:hAnsi="楷体" w:eastAsia="楷体"/>
          <w:b/>
          <w:bCs/>
          <w:sz w:val="32"/>
          <w:szCs w:val="32"/>
        </w:rPr>
        <w:t>万元。包括：</w:t>
      </w:r>
    </w:p>
    <w:p>
      <w:pPr>
        <w:spacing w:before="100" w:beforeAutospacing="1" w:after="100" w:afterAutospacing="1" w:line="560" w:lineRule="atLeast"/>
        <w:ind w:firstLine="640" w:firstLineChars="200"/>
        <w:jc w:val="both"/>
      </w:pPr>
      <w:r>
        <w:rPr>
          <w:rFonts w:ascii="Times New Roman" w:hAnsi="Times New Roman" w:cs="Times New Roman"/>
          <w:sz w:val="32"/>
          <w:szCs w:val="32"/>
        </w:rPr>
        <w:t>1.</w:t>
      </w:r>
      <w:r>
        <w:rPr>
          <w:rFonts w:hint="eastAsia"/>
          <w:sz w:val="32"/>
          <w:szCs w:val="32"/>
        </w:rPr>
        <w:t>本年收入决算合计</w:t>
      </w:r>
      <w:r>
        <w:rPr>
          <w:rFonts w:ascii="Times New Roman" w:hAnsi="Times New Roman" w:cs="Times New Roman"/>
          <w:sz w:val="32"/>
          <w:szCs w:val="32"/>
        </w:rPr>
        <w:t>46,181.47</w:t>
      </w:r>
      <w:r>
        <w:rPr>
          <w:rFonts w:hint="eastAsia"/>
          <w:sz w:val="32"/>
          <w:szCs w:val="32"/>
        </w:rPr>
        <w:t>万元。与上年决算相比，增加</w:t>
      </w:r>
      <w:r>
        <w:rPr>
          <w:rFonts w:ascii="Times New Roman" w:hAnsi="Times New Roman" w:cs="Times New Roman"/>
          <w:sz w:val="32"/>
          <w:szCs w:val="32"/>
        </w:rPr>
        <w:t>3,174.17</w:t>
      </w:r>
      <w:r>
        <w:rPr>
          <w:rFonts w:hint="eastAsia"/>
          <w:sz w:val="32"/>
          <w:szCs w:val="32"/>
        </w:rPr>
        <w:t>万元，增长</w:t>
      </w:r>
      <w:r>
        <w:rPr>
          <w:rFonts w:ascii="Times New Roman" w:hAnsi="Times New Roman" w:cs="Times New Roman"/>
          <w:sz w:val="32"/>
          <w:szCs w:val="32"/>
        </w:rPr>
        <w:t>7.38</w:t>
      </w:r>
      <w:r>
        <w:rPr>
          <w:rFonts w:hint="eastAsia"/>
          <w:sz w:val="32"/>
          <w:szCs w:val="32"/>
        </w:rPr>
        <w:t>%，变动原因：一是财政拨款收入较上年减少1580.97万元，减少4.75%；二是经营收入较上年增加4677.13万元，增长48.15%，我院原有业务顺利开展，新业务得到拓展，经营收入增加；三是其他收入较上年增加78万元，增长335.48%，我院科研项目增加，取得科研经费以及一部分利息收入。</w:t>
      </w:r>
    </w:p>
    <w:p>
      <w:pPr>
        <w:spacing w:before="100" w:beforeAutospacing="1" w:after="100" w:afterAutospacing="1" w:line="560" w:lineRule="atLeast"/>
        <w:ind w:firstLine="640" w:firstLineChars="200"/>
        <w:jc w:val="both"/>
      </w:pPr>
      <w:r>
        <w:rPr>
          <w:rFonts w:ascii="Times New Roman" w:hAnsi="Times New Roman" w:cs="Times New Roman"/>
          <w:sz w:val="32"/>
          <w:szCs w:val="32"/>
        </w:rPr>
        <w:t>2.</w:t>
      </w:r>
      <w:r>
        <w:rPr>
          <w:rFonts w:hint="eastAsia"/>
          <w:sz w:val="32"/>
          <w:szCs w:val="32"/>
        </w:rPr>
        <w:t>使用非财政拨款结余</w:t>
      </w:r>
      <w:r>
        <w:rPr>
          <w:rFonts w:ascii="Times New Roman" w:hAnsi="Times New Roman" w:cs="Times New Roman"/>
          <w:sz w:val="32"/>
          <w:szCs w:val="32"/>
        </w:rPr>
        <w:t>0.00</w:t>
      </w:r>
      <w:r>
        <w:rPr>
          <w:rFonts w:hint="eastAsia"/>
          <w:sz w:val="32"/>
          <w:szCs w:val="32"/>
        </w:rPr>
        <w:t>万元。与上年决算相比，减少</w:t>
      </w:r>
      <w:r>
        <w:rPr>
          <w:rFonts w:ascii="Times New Roman" w:hAnsi="Times New Roman" w:cs="Times New Roman"/>
          <w:sz w:val="32"/>
          <w:szCs w:val="32"/>
        </w:rPr>
        <w:t>149.18</w:t>
      </w:r>
      <w:r>
        <w:rPr>
          <w:rFonts w:hint="eastAsia"/>
          <w:sz w:val="32"/>
          <w:szCs w:val="32"/>
        </w:rPr>
        <w:t>万元，减少</w:t>
      </w:r>
      <w:r>
        <w:rPr>
          <w:rFonts w:ascii="Times New Roman" w:hAnsi="Times New Roman" w:cs="Times New Roman"/>
          <w:sz w:val="32"/>
          <w:szCs w:val="32"/>
        </w:rPr>
        <w:t>100.00</w:t>
      </w:r>
      <w:r>
        <w:rPr>
          <w:rFonts w:hint="eastAsia"/>
          <w:sz w:val="32"/>
          <w:szCs w:val="32"/>
        </w:rPr>
        <w:t>%，变动原因：本年度收支平衡，未发生以前年度结余弥补收支情况。</w:t>
      </w:r>
    </w:p>
    <w:p>
      <w:pPr>
        <w:spacing w:before="100" w:beforeAutospacing="1" w:after="100" w:afterAutospacing="1" w:line="560" w:lineRule="atLeast"/>
        <w:ind w:firstLine="640" w:firstLineChars="200"/>
        <w:jc w:val="both"/>
      </w:pPr>
      <w:r>
        <w:rPr>
          <w:rFonts w:ascii="Times New Roman" w:hAnsi="Times New Roman" w:cs="Times New Roman"/>
          <w:sz w:val="32"/>
          <w:szCs w:val="32"/>
        </w:rPr>
        <w:t>3.</w:t>
      </w:r>
      <w:r>
        <w:rPr>
          <w:rFonts w:hint="eastAsia"/>
          <w:sz w:val="32"/>
          <w:szCs w:val="32"/>
        </w:rPr>
        <w:t>年初结转和结余</w:t>
      </w:r>
      <w:r>
        <w:rPr>
          <w:rFonts w:ascii="Times New Roman" w:hAnsi="Times New Roman" w:cs="Times New Roman"/>
          <w:sz w:val="32"/>
          <w:szCs w:val="32"/>
        </w:rPr>
        <w:t>1,177.16</w:t>
      </w:r>
      <w:r>
        <w:rPr>
          <w:rFonts w:hint="eastAsia"/>
          <w:sz w:val="32"/>
          <w:szCs w:val="32"/>
        </w:rPr>
        <w:t>万元。与上年决算相比，减少</w:t>
      </w:r>
      <w:r>
        <w:rPr>
          <w:rFonts w:ascii="Times New Roman" w:hAnsi="Times New Roman" w:cs="Times New Roman"/>
          <w:sz w:val="32"/>
          <w:szCs w:val="32"/>
        </w:rPr>
        <w:t>149.53</w:t>
      </w:r>
      <w:r>
        <w:rPr>
          <w:rFonts w:hint="eastAsia"/>
          <w:sz w:val="32"/>
          <w:szCs w:val="32"/>
        </w:rPr>
        <w:t>万元，减少</w:t>
      </w:r>
      <w:r>
        <w:rPr>
          <w:rFonts w:ascii="Times New Roman" w:hAnsi="Times New Roman" w:cs="Times New Roman"/>
          <w:sz w:val="32"/>
          <w:szCs w:val="32"/>
        </w:rPr>
        <w:t>11.27</w:t>
      </w:r>
      <w:r>
        <w:rPr>
          <w:rFonts w:hint="eastAsia"/>
          <w:sz w:val="32"/>
          <w:szCs w:val="32"/>
        </w:rPr>
        <w:t>%，变动原因：积极盘活资金，提高资金使用效率。</w:t>
      </w:r>
    </w:p>
    <w:p>
      <w:pPr>
        <w:spacing w:before="100" w:beforeAutospacing="1" w:after="100" w:afterAutospacing="1" w:line="560" w:lineRule="atLeast"/>
        <w:ind w:firstLine="643" w:firstLineChars="200"/>
        <w:jc w:val="both"/>
      </w:pPr>
      <w:r>
        <w:rPr>
          <w:rFonts w:hint="eastAsia" w:ascii="楷体" w:hAnsi="楷体" w:eastAsia="楷体"/>
          <w:b/>
          <w:bCs/>
          <w:sz w:val="32"/>
          <w:szCs w:val="32"/>
        </w:rPr>
        <w:t>（二）支出决算总计</w:t>
      </w:r>
      <w:r>
        <w:rPr>
          <w:rFonts w:ascii="Times New Roman" w:hAnsi="Times New Roman" w:cs="Times New Roman"/>
          <w:sz w:val="32"/>
          <w:szCs w:val="32"/>
        </w:rPr>
        <w:t>47,358.64</w:t>
      </w:r>
      <w:r>
        <w:rPr>
          <w:rFonts w:hint="eastAsia" w:ascii="楷体" w:hAnsi="楷体" w:eastAsia="楷体"/>
          <w:b/>
          <w:bCs/>
          <w:sz w:val="32"/>
          <w:szCs w:val="32"/>
        </w:rPr>
        <w:t>万元。包括：</w:t>
      </w:r>
    </w:p>
    <w:p>
      <w:pPr>
        <w:spacing w:before="100" w:beforeAutospacing="1" w:after="100" w:afterAutospacing="1" w:line="560" w:lineRule="atLeast"/>
        <w:ind w:firstLine="640" w:firstLineChars="200"/>
        <w:jc w:val="both"/>
      </w:pPr>
      <w:r>
        <w:rPr>
          <w:rFonts w:ascii="Times New Roman" w:hAnsi="Times New Roman" w:cs="Times New Roman"/>
          <w:sz w:val="32"/>
          <w:szCs w:val="32"/>
        </w:rPr>
        <w:t>1.</w:t>
      </w:r>
      <w:r>
        <w:rPr>
          <w:rFonts w:hint="eastAsia"/>
          <w:sz w:val="32"/>
          <w:szCs w:val="32"/>
        </w:rPr>
        <w:t>本年支出决算合计</w:t>
      </w:r>
      <w:r>
        <w:rPr>
          <w:rFonts w:ascii="Times New Roman" w:hAnsi="Times New Roman" w:cs="Times New Roman"/>
          <w:sz w:val="32"/>
          <w:szCs w:val="32"/>
        </w:rPr>
        <w:t>41,231.92</w:t>
      </w:r>
      <w:r>
        <w:rPr>
          <w:rFonts w:hint="eastAsia"/>
          <w:sz w:val="32"/>
          <w:szCs w:val="32"/>
        </w:rPr>
        <w:t>万元。与上年决算相比，增加</w:t>
      </w:r>
      <w:r>
        <w:rPr>
          <w:rFonts w:ascii="Times New Roman" w:hAnsi="Times New Roman" w:cs="Times New Roman"/>
          <w:sz w:val="32"/>
          <w:szCs w:val="32"/>
        </w:rPr>
        <w:t>2,038.03</w:t>
      </w:r>
      <w:r>
        <w:rPr>
          <w:rFonts w:hint="eastAsia"/>
          <w:sz w:val="32"/>
          <w:szCs w:val="32"/>
        </w:rPr>
        <w:t>万元，增长</w:t>
      </w:r>
      <w:r>
        <w:rPr>
          <w:rFonts w:ascii="Times New Roman" w:hAnsi="Times New Roman" w:cs="Times New Roman"/>
          <w:sz w:val="32"/>
          <w:szCs w:val="32"/>
        </w:rPr>
        <w:t>5.20</w:t>
      </w:r>
      <w:r>
        <w:rPr>
          <w:rFonts w:hint="eastAsia"/>
          <w:sz w:val="32"/>
          <w:szCs w:val="32"/>
        </w:rPr>
        <w:t>%，变动原因：一是因为财政拨款收入减少，支出相应减少1934.46万元，减少5.79%；二是经营收入增加，业务量增加，为保证各项业务正常运转，经营支出相应增加3972.15万元，增长68.83%。</w:t>
      </w:r>
    </w:p>
    <w:p>
      <w:pPr>
        <w:spacing w:before="100" w:beforeAutospacing="1" w:after="100" w:afterAutospacing="1" w:line="560" w:lineRule="atLeast"/>
        <w:ind w:firstLine="640" w:firstLineChars="200"/>
        <w:jc w:val="both"/>
      </w:pPr>
      <w:r>
        <w:rPr>
          <w:rFonts w:ascii="Times New Roman" w:hAnsi="Times New Roman" w:cs="Times New Roman"/>
          <w:sz w:val="32"/>
          <w:szCs w:val="32"/>
        </w:rPr>
        <w:t>2.</w:t>
      </w:r>
      <w:r>
        <w:rPr>
          <w:rFonts w:hint="eastAsia"/>
          <w:sz w:val="32"/>
          <w:szCs w:val="32"/>
        </w:rPr>
        <w:t>结余分配</w:t>
      </w:r>
      <w:r>
        <w:rPr>
          <w:rFonts w:ascii="Times New Roman" w:hAnsi="Times New Roman" w:cs="Times New Roman"/>
          <w:sz w:val="32"/>
          <w:szCs w:val="32"/>
        </w:rPr>
        <w:t>4,695.56</w:t>
      </w:r>
      <w:r>
        <w:rPr>
          <w:rFonts w:hint="eastAsia"/>
          <w:sz w:val="32"/>
          <w:szCs w:val="32"/>
        </w:rPr>
        <w:t>万元。结余分配事项：一、提取专用结余305.69万元；二是转入非财政拨款结余4389.87万元。与上年决算相比，增加</w:t>
      </w:r>
      <w:r>
        <w:rPr>
          <w:rFonts w:ascii="Times New Roman" w:hAnsi="Times New Roman" w:cs="Times New Roman"/>
          <w:sz w:val="32"/>
          <w:szCs w:val="32"/>
        </w:rPr>
        <w:t>749.03</w:t>
      </w:r>
      <w:r>
        <w:rPr>
          <w:rFonts w:hint="eastAsia"/>
          <w:sz w:val="32"/>
          <w:szCs w:val="32"/>
        </w:rPr>
        <w:t>万元，增长</w:t>
      </w:r>
      <w:r>
        <w:rPr>
          <w:rFonts w:ascii="Times New Roman" w:hAnsi="Times New Roman" w:cs="Times New Roman"/>
          <w:sz w:val="32"/>
          <w:szCs w:val="32"/>
        </w:rPr>
        <w:t>18.98</w:t>
      </w:r>
      <w:r>
        <w:rPr>
          <w:rFonts w:hint="eastAsia"/>
          <w:sz w:val="32"/>
          <w:szCs w:val="32"/>
        </w:rPr>
        <w:t>%，变动原因：我院业务开展整体向好，业务量增加，经营收入及结余相应增加。</w:t>
      </w:r>
    </w:p>
    <w:p>
      <w:pPr>
        <w:spacing w:before="100" w:beforeAutospacing="1" w:after="100" w:afterAutospacing="1" w:line="560" w:lineRule="atLeast"/>
        <w:ind w:firstLine="640" w:firstLineChars="200"/>
        <w:jc w:val="both"/>
      </w:pPr>
      <w:r>
        <w:rPr>
          <w:rFonts w:ascii="Times New Roman" w:hAnsi="Times New Roman" w:cs="Times New Roman"/>
          <w:sz w:val="32"/>
          <w:szCs w:val="32"/>
        </w:rPr>
        <w:t>3.</w:t>
      </w:r>
      <w:r>
        <w:rPr>
          <w:rFonts w:hint="eastAsia"/>
          <w:sz w:val="32"/>
          <w:szCs w:val="32"/>
        </w:rPr>
        <w:t>年末结转和结余</w:t>
      </w:r>
      <w:r>
        <w:rPr>
          <w:rFonts w:ascii="Times New Roman" w:hAnsi="Times New Roman" w:cs="Times New Roman"/>
          <w:sz w:val="32"/>
          <w:szCs w:val="32"/>
        </w:rPr>
        <w:t>1,431.16</w:t>
      </w:r>
      <w:r>
        <w:rPr>
          <w:rFonts w:hint="eastAsia"/>
          <w:sz w:val="32"/>
          <w:szCs w:val="32"/>
        </w:rPr>
        <w:t>万元。结转和结余事项：一是基本支出结转108.94万元，二是项目结转和结余1339.21万元，三是经营结余-17万元。与上年决算相比，增加</w:t>
      </w:r>
      <w:r>
        <w:rPr>
          <w:rFonts w:ascii="Times New Roman" w:hAnsi="Times New Roman" w:cs="Times New Roman"/>
          <w:sz w:val="32"/>
          <w:szCs w:val="32"/>
        </w:rPr>
        <w:t>88.40</w:t>
      </w:r>
      <w:r>
        <w:rPr>
          <w:rFonts w:hint="eastAsia"/>
          <w:sz w:val="32"/>
          <w:szCs w:val="32"/>
        </w:rPr>
        <w:t>万元，增长</w:t>
      </w:r>
      <w:r>
        <w:rPr>
          <w:rFonts w:ascii="Times New Roman" w:hAnsi="Times New Roman" w:cs="Times New Roman"/>
          <w:sz w:val="32"/>
          <w:szCs w:val="32"/>
        </w:rPr>
        <w:t>6.58</w:t>
      </w:r>
      <w:r>
        <w:rPr>
          <w:rFonts w:hint="eastAsia"/>
          <w:sz w:val="32"/>
          <w:szCs w:val="32"/>
        </w:rPr>
        <w:t>%，变动原因：受疫情影响，我院2022年度部分业务未能正常开展，导致项目支出结转较上年有所增加。</w:t>
      </w:r>
    </w:p>
    <w:p>
      <w:pPr>
        <w:spacing w:before="100" w:beforeAutospacing="1" w:after="100" w:afterAutospacing="1" w:line="600" w:lineRule="atLeast"/>
        <w:ind w:firstLine="643" w:firstLineChars="200"/>
        <w:jc w:val="both"/>
      </w:pPr>
      <w:r>
        <w:rPr>
          <w:rFonts w:hint="eastAsia" w:ascii="黑体" w:hAnsi="黑体" w:eastAsia="黑体"/>
          <w:b/>
          <w:bCs/>
          <w:sz w:val="32"/>
          <w:szCs w:val="32"/>
        </w:rPr>
        <w:t>二、收入决算情况说明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内蒙古自治区特种设备检验研究院部门2022年度本年收入决算合计</w:t>
      </w:r>
      <w:r>
        <w:rPr>
          <w:rFonts w:ascii="Times New Roman" w:hAnsi="Times New Roman" w:cs="Times New Roman"/>
          <w:sz w:val="32"/>
          <w:szCs w:val="32"/>
        </w:rPr>
        <w:t>46,181.47</w:t>
      </w:r>
      <w:r>
        <w:rPr>
          <w:rFonts w:hint="eastAsia"/>
          <w:sz w:val="32"/>
          <w:szCs w:val="32"/>
        </w:rPr>
        <w:t>万元，其中：</w:t>
      </w:r>
    </w:p>
    <w:p>
      <w:pPr>
        <w:spacing w:before="100" w:beforeAutospacing="1" w:after="100" w:afterAutospacing="1" w:line="560" w:lineRule="atLeast"/>
        <w:ind w:firstLine="640" w:firstLineChars="200"/>
        <w:jc w:val="both"/>
      </w:pPr>
      <w:r>
        <w:rPr>
          <w:rFonts w:hint="eastAsia"/>
          <w:sz w:val="32"/>
          <w:szCs w:val="32"/>
        </w:rPr>
        <w:t>本年一般公共预算财政拨款收入</w:t>
      </w:r>
      <w:r>
        <w:rPr>
          <w:rFonts w:ascii="Times New Roman" w:hAnsi="Times New Roman" w:cs="Times New Roman"/>
          <w:sz w:val="32"/>
          <w:szCs w:val="32"/>
        </w:rPr>
        <w:t>31,690.02</w:t>
      </w:r>
      <w:r>
        <w:rPr>
          <w:rFonts w:hint="eastAsia"/>
          <w:sz w:val="32"/>
          <w:szCs w:val="32"/>
        </w:rPr>
        <w:t>万元，占</w:t>
      </w:r>
      <w:r>
        <w:rPr>
          <w:rFonts w:ascii="Times New Roman" w:hAnsi="Times New Roman" w:cs="Times New Roman"/>
          <w:sz w:val="32"/>
          <w:szCs w:val="32"/>
        </w:rPr>
        <w:t>68.62</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本年政府性基金预算财政拨款收入</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本年国有资本经营预算财政拨款收入</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本年上级补助收入</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本年事业收入</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本年经营收入</w:t>
      </w:r>
      <w:r>
        <w:rPr>
          <w:rFonts w:ascii="Times New Roman" w:hAnsi="Times New Roman" w:cs="Times New Roman"/>
          <w:sz w:val="32"/>
          <w:szCs w:val="32"/>
        </w:rPr>
        <w:t>14,390.20</w:t>
      </w:r>
      <w:r>
        <w:rPr>
          <w:rFonts w:hint="eastAsia"/>
          <w:sz w:val="32"/>
          <w:szCs w:val="32"/>
        </w:rPr>
        <w:t>万元，占</w:t>
      </w:r>
      <w:r>
        <w:rPr>
          <w:rFonts w:ascii="Times New Roman" w:hAnsi="Times New Roman" w:cs="Times New Roman"/>
          <w:sz w:val="32"/>
          <w:szCs w:val="32"/>
        </w:rPr>
        <w:t>31.16</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本年附属单位上缴收入</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本年其他收入</w:t>
      </w:r>
      <w:r>
        <w:rPr>
          <w:rFonts w:ascii="Times New Roman" w:hAnsi="Times New Roman" w:cs="Times New Roman"/>
          <w:sz w:val="32"/>
          <w:szCs w:val="32"/>
        </w:rPr>
        <w:t>101.25</w:t>
      </w:r>
      <w:r>
        <w:rPr>
          <w:rFonts w:hint="eastAsia"/>
          <w:sz w:val="32"/>
          <w:szCs w:val="32"/>
        </w:rPr>
        <w:t>万元，占</w:t>
      </w:r>
      <w:r>
        <w:rPr>
          <w:rFonts w:ascii="Times New Roman" w:hAnsi="Times New Roman" w:cs="Times New Roman"/>
          <w:sz w:val="32"/>
          <w:szCs w:val="32"/>
        </w:rPr>
        <w:t>0.22</w:t>
      </w:r>
      <w:r>
        <w:rPr>
          <w:rFonts w:hint="eastAsia"/>
          <w:sz w:val="32"/>
          <w:szCs w:val="32"/>
        </w:rPr>
        <w:t>%。</w:t>
      </w:r>
    </w:p>
    <w:p>
      <w:pPr>
        <w:spacing w:before="100" w:beforeAutospacing="1" w:after="100" w:afterAutospacing="1" w:line="560" w:lineRule="atLeast"/>
        <w:jc w:val="center"/>
      </w:pPr>
      <w:r>
        <w:drawing>
          <wp:inline distT="0" distB="0" distL="0" distR="0">
            <wp:extent cx="4568825" cy="2484120"/>
            <wp:effectExtent l="0" t="0" r="22225"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Times New Roman" w:hAnsi="Times New Roman" w:cs="Times New Roman"/>
          <w:sz w:val="32"/>
          <w:szCs w:val="32"/>
        </w:rPr>
        <w:t> </w:t>
      </w:r>
    </w:p>
    <w:p>
      <w:pPr>
        <w:spacing w:before="100" w:beforeAutospacing="1" w:after="100" w:afterAutospacing="1" w:line="560" w:lineRule="atLeast"/>
        <w:ind w:firstLine="640" w:firstLineChars="200"/>
        <w:jc w:val="center"/>
      </w:pPr>
      <w:r>
        <w:rPr>
          <w:rFonts w:hint="eastAsia"/>
          <w:sz w:val="32"/>
          <w:szCs w:val="32"/>
        </w:rPr>
        <w:t>图</w:t>
      </w:r>
      <w:r>
        <w:rPr>
          <w:rFonts w:ascii="Times New Roman" w:hAnsi="Times New Roman" w:cs="Times New Roman"/>
          <w:sz w:val="32"/>
          <w:szCs w:val="32"/>
        </w:rPr>
        <w:t>1.</w:t>
      </w:r>
      <w:r>
        <w:rPr>
          <w:rFonts w:hint="eastAsia"/>
          <w:sz w:val="32"/>
          <w:szCs w:val="32"/>
        </w:rPr>
        <w:t>收入决算图</w:t>
      </w:r>
    </w:p>
    <w:p>
      <w:pPr>
        <w:spacing w:before="100" w:beforeAutospacing="1" w:after="100" w:afterAutospacing="1" w:line="600" w:lineRule="atLeast"/>
        <w:ind w:firstLine="643" w:firstLineChars="200"/>
        <w:jc w:val="both"/>
      </w:pPr>
      <w:r>
        <w:rPr>
          <w:rFonts w:hint="eastAsia" w:ascii="黑体" w:hAnsi="黑体" w:eastAsia="黑体"/>
          <w:b/>
          <w:bCs/>
          <w:sz w:val="32"/>
          <w:szCs w:val="32"/>
        </w:rPr>
        <w:t>三、支出决算情况说明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内蒙古自治区特种设备检验研究院部门2022年度本年支出决算合计</w:t>
      </w:r>
      <w:r>
        <w:rPr>
          <w:rFonts w:ascii="Times New Roman" w:hAnsi="Times New Roman" w:cs="Times New Roman"/>
          <w:sz w:val="32"/>
          <w:szCs w:val="32"/>
        </w:rPr>
        <w:t>41,231.92</w:t>
      </w:r>
      <w:r>
        <w:rPr>
          <w:rFonts w:hint="eastAsia"/>
          <w:sz w:val="32"/>
          <w:szCs w:val="32"/>
        </w:rPr>
        <w:t>万元，其中：</w:t>
      </w:r>
    </w:p>
    <w:p>
      <w:pPr>
        <w:spacing w:before="100" w:beforeAutospacing="1" w:after="100" w:afterAutospacing="1" w:line="560" w:lineRule="atLeast"/>
        <w:ind w:firstLine="640" w:firstLineChars="200"/>
        <w:jc w:val="both"/>
      </w:pPr>
      <w:r>
        <w:rPr>
          <w:rFonts w:hint="eastAsia"/>
          <w:sz w:val="32"/>
          <w:szCs w:val="32"/>
        </w:rPr>
        <w:t>本年基本支出</w:t>
      </w:r>
      <w:r>
        <w:rPr>
          <w:rFonts w:ascii="Times New Roman" w:hAnsi="Times New Roman" w:cs="Times New Roman"/>
          <w:sz w:val="32"/>
          <w:szCs w:val="32"/>
        </w:rPr>
        <w:t>1,833.65</w:t>
      </w:r>
      <w:r>
        <w:rPr>
          <w:rFonts w:hint="eastAsia"/>
          <w:sz w:val="32"/>
          <w:szCs w:val="32"/>
        </w:rPr>
        <w:t>万元，占</w:t>
      </w:r>
      <w:r>
        <w:rPr>
          <w:rFonts w:ascii="Times New Roman" w:hAnsi="Times New Roman" w:cs="Times New Roman"/>
          <w:sz w:val="32"/>
          <w:szCs w:val="32"/>
        </w:rPr>
        <w:t>4.45</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本年项目支出</w:t>
      </w:r>
      <w:r>
        <w:rPr>
          <w:rFonts w:ascii="Times New Roman" w:hAnsi="Times New Roman" w:cs="Times New Roman"/>
          <w:sz w:val="32"/>
          <w:szCs w:val="32"/>
        </w:rPr>
        <w:t>29,654.84</w:t>
      </w:r>
      <w:r>
        <w:rPr>
          <w:rFonts w:hint="eastAsia"/>
          <w:sz w:val="32"/>
          <w:szCs w:val="32"/>
        </w:rPr>
        <w:t>万元，占</w:t>
      </w:r>
      <w:r>
        <w:rPr>
          <w:rFonts w:ascii="Times New Roman" w:hAnsi="Times New Roman" w:cs="Times New Roman"/>
          <w:sz w:val="32"/>
          <w:szCs w:val="32"/>
        </w:rPr>
        <w:t>71.92</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本年上缴上级支出</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本年经营支出</w:t>
      </w:r>
      <w:r>
        <w:rPr>
          <w:rFonts w:ascii="Times New Roman" w:hAnsi="Times New Roman" w:cs="Times New Roman"/>
          <w:sz w:val="32"/>
          <w:szCs w:val="32"/>
        </w:rPr>
        <w:t>9,743.42</w:t>
      </w:r>
      <w:r>
        <w:rPr>
          <w:rFonts w:hint="eastAsia"/>
          <w:sz w:val="32"/>
          <w:szCs w:val="32"/>
        </w:rPr>
        <w:t>万元，占</w:t>
      </w:r>
      <w:r>
        <w:rPr>
          <w:rFonts w:ascii="Times New Roman" w:hAnsi="Times New Roman" w:cs="Times New Roman"/>
          <w:sz w:val="32"/>
          <w:szCs w:val="32"/>
        </w:rPr>
        <w:t>23.63</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本年对附属单位补助支出</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w:t>
      </w:r>
    </w:p>
    <w:p>
      <w:pPr>
        <w:spacing w:before="100" w:beforeAutospacing="1" w:after="100" w:afterAutospacing="1" w:line="560" w:lineRule="atLeast"/>
        <w:jc w:val="center"/>
      </w:pPr>
      <w:r>
        <w:rPr>
          <w:rFonts w:hint="eastAsia"/>
        </w:rPr>
        <w:drawing>
          <wp:inline distT="0" distB="0" distL="0" distR="0">
            <wp:extent cx="5334000" cy="2286000"/>
            <wp:effectExtent l="0" t="0" r="0" b="0"/>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hAnsi="Times New Roman" w:cs="Times New Roman"/>
          <w:sz w:val="32"/>
          <w:szCs w:val="32"/>
        </w:rPr>
        <w:t> </w:t>
      </w:r>
    </w:p>
    <w:p>
      <w:pPr>
        <w:spacing w:before="100" w:beforeAutospacing="1" w:after="100" w:afterAutospacing="1" w:line="560" w:lineRule="atLeast"/>
        <w:ind w:firstLine="640" w:firstLineChars="200"/>
        <w:jc w:val="center"/>
      </w:pPr>
      <w:r>
        <w:rPr>
          <w:rFonts w:hint="eastAsia"/>
          <w:sz w:val="32"/>
          <w:szCs w:val="32"/>
        </w:rPr>
        <w:t>图</w:t>
      </w:r>
      <w:r>
        <w:rPr>
          <w:rFonts w:ascii="Times New Roman" w:hAnsi="Times New Roman" w:cs="Times New Roman"/>
          <w:sz w:val="32"/>
          <w:szCs w:val="32"/>
        </w:rPr>
        <w:t>2.</w:t>
      </w:r>
      <w:r>
        <w:rPr>
          <w:rFonts w:hint="eastAsia"/>
          <w:sz w:val="32"/>
          <w:szCs w:val="32"/>
        </w:rPr>
        <w:t>支出决算图</w:t>
      </w:r>
    </w:p>
    <w:p>
      <w:pPr>
        <w:spacing w:before="100" w:beforeAutospacing="1" w:after="100" w:afterAutospacing="1" w:line="560" w:lineRule="atLeast"/>
        <w:ind w:firstLine="640" w:firstLineChars="200"/>
        <w:jc w:val="center"/>
      </w:pPr>
      <w:r>
        <w:rPr>
          <w:rFonts w:ascii="Times New Roman" w:hAnsi="Times New Roman" w:cs="Times New Roman"/>
          <w:sz w:val="32"/>
          <w:szCs w:val="32"/>
        </w:rPr>
        <w:t> </w:t>
      </w:r>
    </w:p>
    <w:p>
      <w:pPr>
        <w:spacing w:before="100" w:beforeAutospacing="1" w:after="100" w:afterAutospacing="1" w:line="600" w:lineRule="atLeast"/>
        <w:ind w:firstLine="643" w:firstLineChars="200"/>
        <w:jc w:val="both"/>
      </w:pPr>
      <w:r>
        <w:rPr>
          <w:rFonts w:hint="eastAsia" w:ascii="黑体" w:hAnsi="黑体" w:eastAsia="黑体"/>
          <w:b/>
          <w:bCs/>
          <w:sz w:val="32"/>
          <w:szCs w:val="32"/>
        </w:rPr>
        <w:t>四、财政拨款收入支出决算总体情况说明</w:t>
      </w:r>
    </w:p>
    <w:p>
      <w:pPr>
        <w:spacing w:before="100" w:beforeAutospacing="1" w:after="100" w:afterAutospacing="1" w:line="560" w:lineRule="atLeast"/>
        <w:ind w:firstLine="640" w:firstLineChars="200"/>
        <w:jc w:val="both"/>
        <w:rPr>
          <w:sz w:val="32"/>
          <w:szCs w:val="32"/>
        </w:rPr>
      </w:pPr>
      <w:r>
        <w:rPr>
          <w:rFonts w:hint="eastAsia"/>
          <w:sz w:val="32"/>
          <w:szCs w:val="32"/>
        </w:rPr>
        <w:t>内蒙古自治区特种设备检验研究院部门</w:t>
      </w:r>
      <w:r>
        <w:rPr>
          <w:rFonts w:ascii="Times New Roman" w:hAnsi="Times New Roman" w:cs="Times New Roman"/>
          <w:sz w:val="32"/>
          <w:szCs w:val="32"/>
        </w:rPr>
        <w:t xml:space="preserve"> </w:t>
      </w:r>
      <w:r>
        <w:rPr>
          <w:rFonts w:hint="eastAsia"/>
          <w:sz w:val="32"/>
          <w:szCs w:val="32"/>
        </w:rPr>
        <w:t>2022年度财政拨款收入、支出决算总计</w:t>
      </w:r>
      <w:r>
        <w:rPr>
          <w:rFonts w:ascii="Times New Roman" w:hAnsi="Times New Roman" w:cs="Times New Roman"/>
          <w:sz w:val="32"/>
          <w:szCs w:val="32"/>
        </w:rPr>
        <w:t>32,684.71</w:t>
      </w:r>
      <w:r>
        <w:rPr>
          <w:rFonts w:hint="eastAsia"/>
          <w:sz w:val="32"/>
          <w:szCs w:val="32"/>
        </w:rPr>
        <w:t>万元，与年初预算相比，收、支总计各增加</w:t>
      </w:r>
      <w:r>
        <w:rPr>
          <w:rFonts w:ascii="Times New Roman" w:hAnsi="Times New Roman" w:cs="Times New Roman"/>
          <w:sz w:val="32"/>
          <w:szCs w:val="32"/>
        </w:rPr>
        <w:t>1,832.91</w:t>
      </w:r>
      <w:r>
        <w:rPr>
          <w:rFonts w:hint="eastAsia"/>
          <w:sz w:val="32"/>
          <w:szCs w:val="32"/>
        </w:rPr>
        <w:t>万元，增长</w:t>
      </w:r>
      <w:r>
        <w:rPr>
          <w:rFonts w:ascii="Times New Roman" w:hAnsi="Times New Roman" w:cs="Times New Roman"/>
          <w:sz w:val="32"/>
          <w:szCs w:val="32"/>
        </w:rPr>
        <w:t>5.94</w:t>
      </w:r>
      <w:r>
        <w:rPr>
          <w:rFonts w:hint="eastAsia"/>
          <w:sz w:val="32"/>
          <w:szCs w:val="32"/>
        </w:rPr>
        <w:t>%，变动原因：一是年中由于工资自然增长，新进人员等原因追加了人员相关经费</w:t>
      </w:r>
      <w:r>
        <w:rPr>
          <w:rFonts w:hint="eastAsia"/>
          <w:sz w:val="32"/>
          <w:szCs w:val="32"/>
          <w:lang w:val="en-US" w:eastAsia="zh-CN"/>
        </w:rPr>
        <w:t>1953.56</w:t>
      </w:r>
      <w:r>
        <w:rPr>
          <w:rFonts w:hint="eastAsia"/>
          <w:sz w:val="32"/>
          <w:szCs w:val="32"/>
        </w:rPr>
        <w:t>万元，追加了“基于动力学分析的高速电梯安全运行检测与孪生可视化技术研究”项目经费29万元；二是收回年终结余资金</w:t>
      </w:r>
      <w:r>
        <w:rPr>
          <w:rFonts w:hint="eastAsia"/>
          <w:sz w:val="32"/>
          <w:szCs w:val="32"/>
          <w:lang w:val="en-US" w:eastAsia="zh-CN"/>
        </w:rPr>
        <w:t>847.63</w:t>
      </w:r>
      <w:r>
        <w:rPr>
          <w:rFonts w:hint="eastAsia"/>
          <w:sz w:val="32"/>
          <w:szCs w:val="32"/>
        </w:rPr>
        <w:t>万元；三是申请本年预算365.71万元结转至下年使用。</w:t>
      </w:r>
    </w:p>
    <w:p>
      <w:pPr>
        <w:spacing w:before="100" w:beforeAutospacing="1" w:after="100" w:afterAutospacing="1" w:line="560" w:lineRule="atLeast"/>
        <w:ind w:firstLine="640" w:firstLineChars="200"/>
        <w:jc w:val="both"/>
        <w:rPr>
          <w:color w:val="C0504D" w:themeColor="accent2"/>
          <w14:textFill>
            <w14:solidFill>
              <w14:schemeClr w14:val="accent2"/>
            </w14:solidFill>
          </w14:textFill>
        </w:rPr>
      </w:pPr>
      <w:r>
        <w:rPr>
          <w:rFonts w:hint="eastAsia"/>
          <w:sz w:val="32"/>
          <w:szCs w:val="32"/>
        </w:rPr>
        <w:t>与上年决算相比，收、支总计各减少</w:t>
      </w:r>
      <w:r>
        <w:rPr>
          <w:rFonts w:ascii="Times New Roman" w:hAnsi="Times New Roman" w:cs="Times New Roman"/>
          <w:sz w:val="32"/>
          <w:szCs w:val="32"/>
        </w:rPr>
        <w:t>1,680.54</w:t>
      </w:r>
      <w:r>
        <w:rPr>
          <w:rFonts w:hint="eastAsia"/>
          <w:sz w:val="32"/>
          <w:szCs w:val="32"/>
        </w:rPr>
        <w:t>万元，减少</w:t>
      </w:r>
      <w:r>
        <w:rPr>
          <w:rFonts w:ascii="Times New Roman" w:hAnsi="Times New Roman" w:cs="Times New Roman"/>
          <w:sz w:val="30"/>
          <w:szCs w:val="30"/>
        </w:rPr>
        <w:t>4.89</w:t>
      </w:r>
      <w:r>
        <w:rPr>
          <w:rFonts w:hint="eastAsia"/>
          <w:sz w:val="32"/>
          <w:szCs w:val="32"/>
        </w:rPr>
        <w:t>%，变动原因：</w:t>
      </w:r>
      <w:r>
        <w:rPr>
          <w:rFonts w:hint="eastAsia"/>
          <w:color w:val="000000" w:themeColor="text1"/>
          <w:sz w:val="32"/>
          <w:szCs w:val="32"/>
          <w14:textFill>
            <w14:solidFill>
              <w14:schemeClr w14:val="tx1"/>
            </w14:solidFill>
          </w14:textFill>
        </w:rPr>
        <w:t>一是响应“过紧日子”的文件精神，压缩部门项目支出；二是加快支出进度，提高资金使用效率，减少结余结转资金。</w:t>
      </w:r>
    </w:p>
    <w:p>
      <w:pPr>
        <w:spacing w:before="100" w:beforeAutospacing="1" w:after="100" w:afterAutospacing="1" w:line="600" w:lineRule="atLeast"/>
        <w:ind w:firstLine="643" w:firstLineChars="200"/>
        <w:jc w:val="both"/>
      </w:pPr>
      <w:r>
        <w:rPr>
          <w:rFonts w:hint="eastAsia" w:ascii="黑体" w:hAnsi="黑体" w:eastAsia="黑体"/>
          <w:b/>
          <w:bCs/>
          <w:sz w:val="32"/>
          <w:szCs w:val="32"/>
        </w:rPr>
        <w:t>五、一般公共预算支出决算情况说明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内蒙古自治区特种设备检验研究院部门2022年度一般公共预算财政拨款支出决算</w:t>
      </w:r>
      <w:r>
        <w:rPr>
          <w:rFonts w:ascii="Times New Roman" w:hAnsi="Times New Roman" w:cs="Times New Roman"/>
          <w:sz w:val="32"/>
          <w:szCs w:val="32"/>
        </w:rPr>
        <w:t>31,466.52</w:t>
      </w:r>
      <w:r>
        <w:rPr>
          <w:rFonts w:hint="eastAsia"/>
          <w:sz w:val="32"/>
          <w:szCs w:val="32"/>
        </w:rPr>
        <w:t>万元。与年初预算</w:t>
      </w:r>
      <w:r>
        <w:rPr>
          <w:rFonts w:ascii="Times New Roman" w:hAnsi="Times New Roman" w:cs="Times New Roman"/>
          <w:sz w:val="32"/>
          <w:szCs w:val="32"/>
        </w:rPr>
        <w:t>30,851.80</w:t>
      </w:r>
      <w:r>
        <w:rPr>
          <w:rFonts w:hint="eastAsia"/>
          <w:sz w:val="32"/>
          <w:szCs w:val="32"/>
        </w:rPr>
        <w:t>万元相比，完成年初预算的</w:t>
      </w:r>
      <w:r>
        <w:rPr>
          <w:rFonts w:ascii="Times New Roman" w:hAnsi="Times New Roman" w:cs="Times New Roman"/>
          <w:sz w:val="32"/>
          <w:szCs w:val="32"/>
        </w:rPr>
        <w:t>101.99</w:t>
      </w:r>
      <w:r>
        <w:rPr>
          <w:rFonts w:hint="eastAsia"/>
          <w:sz w:val="32"/>
          <w:szCs w:val="32"/>
        </w:rPr>
        <w:t>%。其中：</w:t>
      </w:r>
    </w:p>
    <w:p>
      <w:pPr>
        <w:spacing w:before="100" w:beforeAutospacing="1" w:after="100" w:afterAutospacing="1" w:line="560" w:lineRule="atLeast"/>
        <w:ind w:firstLine="643" w:firstLineChars="200"/>
        <w:jc w:val="both"/>
      </w:pPr>
      <w:r>
        <w:rPr>
          <w:rFonts w:hint="eastAsia" w:ascii="楷体" w:hAnsi="楷体" w:eastAsia="楷体"/>
          <w:b/>
          <w:bCs/>
          <w:sz w:val="32"/>
          <w:szCs w:val="32"/>
        </w:rPr>
        <w:t>（一）一般公共服务（类）</w:t>
      </w:r>
    </w:p>
    <w:p>
      <w:pPr>
        <w:spacing w:before="100" w:beforeAutospacing="1" w:after="100" w:afterAutospacing="1" w:line="560" w:lineRule="atLeast"/>
        <w:ind w:firstLine="640" w:firstLineChars="200"/>
        <w:jc w:val="both"/>
      </w:pPr>
      <w:r>
        <w:rPr>
          <w:rFonts w:hint="eastAsia"/>
          <w:sz w:val="32"/>
          <w:szCs w:val="32"/>
        </w:rPr>
        <w:t>一般公共服务类决算数为</w:t>
      </w:r>
      <w:r>
        <w:rPr>
          <w:rFonts w:ascii="Times New Roman" w:hAnsi="Times New Roman" w:cs="Times New Roman"/>
          <w:sz w:val="30"/>
          <w:szCs w:val="30"/>
        </w:rPr>
        <w:t>30,369.11</w:t>
      </w:r>
      <w:r>
        <w:rPr>
          <w:rFonts w:hint="eastAsia"/>
          <w:sz w:val="32"/>
          <w:szCs w:val="32"/>
        </w:rPr>
        <w:t>万元，与年初预算相比减少</w:t>
      </w:r>
      <w:r>
        <w:rPr>
          <w:rFonts w:ascii="Times New Roman" w:hAnsi="Times New Roman" w:cs="Times New Roman"/>
          <w:sz w:val="32"/>
          <w:szCs w:val="32"/>
        </w:rPr>
        <w:t>49.17</w:t>
      </w:r>
      <w:r>
        <w:rPr>
          <w:rFonts w:hint="eastAsia"/>
          <w:sz w:val="32"/>
          <w:szCs w:val="32"/>
        </w:rPr>
        <w:t>万元。其中：</w:t>
      </w:r>
    </w:p>
    <w:p>
      <w:pPr>
        <w:spacing w:before="100" w:beforeAutospacing="1" w:after="100" w:afterAutospacing="1" w:line="560" w:lineRule="atLeast"/>
        <w:ind w:firstLine="640" w:firstLineChars="200"/>
        <w:jc w:val="both"/>
        <w:rPr>
          <w:sz w:val="32"/>
          <w:szCs w:val="32"/>
        </w:rPr>
      </w:pPr>
      <w:r>
        <w:rPr>
          <w:rFonts w:hint="eastAsia"/>
          <w:sz w:val="32"/>
          <w:szCs w:val="32"/>
        </w:rPr>
        <w:t>（1）市场监督管理事务(款)市场秩序执法(项):2022年财政拨款预算数为21,677.10万元，决算数为20316.73万元，完成年初预算的93.72%。与预算差异主要原因是：受疫情影响，我院有近三个月居家办公时期，相应的运转经费减少，业务费用的支出受影响。</w:t>
      </w:r>
    </w:p>
    <w:p>
      <w:pPr>
        <w:spacing w:before="100" w:beforeAutospacing="1" w:after="100" w:afterAutospacing="1" w:line="560" w:lineRule="atLeast"/>
        <w:ind w:firstLine="640" w:firstLineChars="200"/>
        <w:jc w:val="both"/>
        <w:rPr>
          <w:sz w:val="32"/>
          <w:szCs w:val="32"/>
        </w:rPr>
      </w:pPr>
      <w:r>
        <w:rPr>
          <w:rFonts w:hint="eastAsia"/>
          <w:sz w:val="32"/>
          <w:szCs w:val="32"/>
        </w:rPr>
        <w:t>（2）市场监督管理事务(款)质量安全监管(项):2022年财政拨款预算数为1,200.00万元，决算数为1198.99万元。完成年初预算的99.92%，属于正常差异范围。</w:t>
      </w:r>
    </w:p>
    <w:p>
      <w:pPr>
        <w:spacing w:before="100" w:beforeAutospacing="1" w:after="100" w:afterAutospacing="1" w:line="560" w:lineRule="atLeast"/>
        <w:ind w:firstLine="640" w:firstLineChars="200"/>
        <w:jc w:val="both"/>
        <w:rPr>
          <w:sz w:val="32"/>
          <w:szCs w:val="32"/>
        </w:rPr>
      </w:pPr>
      <w:r>
        <w:rPr>
          <w:rFonts w:hint="eastAsia"/>
          <w:sz w:val="32"/>
          <w:szCs w:val="32"/>
        </w:rPr>
        <w:t>（3）市场监督管理事务(款)事业运行(项):2022年财政拨款预算数为287.76万元，决算数为1435.16万元，完成了年初预算的498.74%。与年初预算差异主要原因是：年中依据财政厅文件追加人员工资调整支出经费。</w:t>
      </w:r>
    </w:p>
    <w:p>
      <w:pPr>
        <w:spacing w:before="100" w:beforeAutospacing="1" w:after="100" w:afterAutospacing="1" w:line="560" w:lineRule="atLeast"/>
        <w:ind w:firstLine="640" w:firstLineChars="200"/>
        <w:jc w:val="both"/>
        <w:rPr>
          <w:sz w:val="32"/>
          <w:szCs w:val="32"/>
        </w:rPr>
      </w:pPr>
      <w:r>
        <w:rPr>
          <w:rFonts w:hint="eastAsia"/>
          <w:sz w:val="32"/>
          <w:szCs w:val="32"/>
        </w:rPr>
        <w:t>（4）市场监督管理事务(款)其他市场监督管理事务(项):2022年财政拨款预算数为7,155.08 万元，决算数为7418.23万元，完成了年初预算的103.68%。与年初预算差异主要原因是年中依据社保核定基数追加职业年金缴费利息支出经费。</w:t>
      </w:r>
    </w:p>
    <w:p>
      <w:pPr>
        <w:spacing w:before="100" w:beforeAutospacing="1" w:after="100" w:afterAutospacing="1" w:line="560" w:lineRule="atLeast"/>
        <w:ind w:firstLine="643" w:firstLineChars="200"/>
        <w:jc w:val="both"/>
      </w:pPr>
      <w:r>
        <w:rPr>
          <w:rFonts w:hint="eastAsia" w:ascii="楷体" w:hAnsi="楷体" w:eastAsia="楷体"/>
          <w:b/>
          <w:bCs/>
          <w:sz w:val="32"/>
          <w:szCs w:val="32"/>
        </w:rPr>
        <w:t>（二）公共安全（类）</w:t>
      </w:r>
    </w:p>
    <w:p>
      <w:pPr>
        <w:spacing w:before="100" w:beforeAutospacing="1" w:after="100" w:afterAutospacing="1" w:line="560" w:lineRule="atLeast"/>
        <w:ind w:firstLine="640" w:firstLineChars="200"/>
        <w:jc w:val="both"/>
      </w:pPr>
      <w:r>
        <w:rPr>
          <w:rFonts w:hint="eastAsia"/>
          <w:sz w:val="32"/>
          <w:szCs w:val="32"/>
        </w:rPr>
        <w:t>公共安全类决算数为</w:t>
      </w:r>
      <w:r>
        <w:rPr>
          <w:rFonts w:ascii="Times New Roman" w:hAnsi="Times New Roman" w:cs="Times New Roman"/>
          <w:sz w:val="32"/>
          <w:szCs w:val="32"/>
        </w:rPr>
        <w:t>0.00</w:t>
      </w:r>
      <w:r>
        <w:rPr>
          <w:rFonts w:hint="eastAsia"/>
          <w:sz w:val="32"/>
          <w:szCs w:val="32"/>
        </w:rPr>
        <w:t>万元，与年初预算相比增加</w:t>
      </w:r>
      <w:r>
        <w:rPr>
          <w:rFonts w:ascii="Times New Roman" w:hAnsi="Times New Roman" w:cs="Times New Roman"/>
          <w:sz w:val="32"/>
          <w:szCs w:val="32"/>
        </w:rPr>
        <w:t>0.00</w:t>
      </w:r>
      <w:r>
        <w:rPr>
          <w:rFonts w:hint="eastAsia"/>
          <w:sz w:val="32"/>
          <w:szCs w:val="32"/>
        </w:rPr>
        <w:t>万元。我部门无此类预算。</w:t>
      </w:r>
    </w:p>
    <w:p>
      <w:pPr>
        <w:spacing w:before="100" w:beforeAutospacing="1" w:after="100" w:afterAutospacing="1" w:line="560" w:lineRule="atLeast"/>
        <w:ind w:firstLine="643" w:firstLineChars="200"/>
        <w:jc w:val="both"/>
      </w:pPr>
      <w:r>
        <w:rPr>
          <w:rFonts w:hint="eastAsia" w:ascii="楷体" w:hAnsi="楷体" w:eastAsia="楷体"/>
          <w:b/>
          <w:bCs/>
          <w:sz w:val="32"/>
          <w:szCs w:val="32"/>
        </w:rPr>
        <w:t>（三）社会保障和就业支出（类）</w:t>
      </w:r>
    </w:p>
    <w:p>
      <w:pPr>
        <w:spacing w:before="100" w:beforeAutospacing="1" w:after="100" w:afterAutospacing="1" w:line="560" w:lineRule="atLeast"/>
        <w:ind w:firstLine="640" w:firstLineChars="200"/>
        <w:jc w:val="both"/>
      </w:pPr>
      <w:r>
        <w:rPr>
          <w:rFonts w:hint="eastAsia"/>
          <w:sz w:val="32"/>
          <w:szCs w:val="32"/>
        </w:rPr>
        <w:t>社会保障和就业支出类决算数为</w:t>
      </w:r>
      <w:r>
        <w:rPr>
          <w:rFonts w:ascii="Times New Roman" w:hAnsi="Times New Roman" w:cs="Times New Roman"/>
          <w:sz w:val="32"/>
          <w:szCs w:val="32"/>
        </w:rPr>
        <w:t>811.29</w:t>
      </w:r>
      <w:r>
        <w:rPr>
          <w:rFonts w:hint="eastAsia"/>
          <w:sz w:val="32"/>
          <w:szCs w:val="32"/>
        </w:rPr>
        <w:t>万元，与年初预算相比增加</w:t>
      </w:r>
      <w:r>
        <w:rPr>
          <w:rFonts w:ascii="Times New Roman" w:hAnsi="Times New Roman" w:cs="Times New Roman"/>
          <w:sz w:val="32"/>
          <w:szCs w:val="32"/>
        </w:rPr>
        <w:t>467.55</w:t>
      </w:r>
      <w:r>
        <w:rPr>
          <w:rFonts w:hint="eastAsia"/>
          <w:sz w:val="32"/>
          <w:szCs w:val="32"/>
        </w:rPr>
        <w:t>万元。其中：</w:t>
      </w:r>
    </w:p>
    <w:p>
      <w:pPr>
        <w:spacing w:before="100" w:beforeAutospacing="1" w:after="100" w:afterAutospacing="1" w:line="560" w:lineRule="atLeast"/>
        <w:ind w:firstLine="640" w:firstLineChars="200"/>
        <w:jc w:val="both"/>
      </w:pPr>
      <w:r>
        <w:rPr>
          <w:rFonts w:ascii="Times New Roman" w:hAnsi="Times New Roman" w:cs="Times New Roman"/>
          <w:sz w:val="32"/>
          <w:szCs w:val="32"/>
        </w:rPr>
        <w:t>1</w:t>
      </w:r>
      <w:r>
        <w:rPr>
          <w:rFonts w:hint="eastAsia"/>
          <w:sz w:val="32"/>
          <w:szCs w:val="32"/>
        </w:rPr>
        <w:t>．行政事业单位养老支出（款）行政单位离退休（项）。年初预算</w:t>
      </w:r>
      <w:r>
        <w:rPr>
          <w:rFonts w:ascii="Times New Roman" w:hAnsi="Times New Roman" w:cs="Times New Roman"/>
          <w:sz w:val="32"/>
          <w:szCs w:val="32"/>
        </w:rPr>
        <w:t>93.94</w:t>
      </w:r>
      <w:r>
        <w:rPr>
          <w:rFonts w:hint="eastAsia"/>
          <w:sz w:val="32"/>
          <w:szCs w:val="32"/>
        </w:rPr>
        <w:t>万元，支出决算</w:t>
      </w:r>
      <w:r>
        <w:rPr>
          <w:rFonts w:ascii="Times New Roman" w:hAnsi="Times New Roman" w:cs="Times New Roman"/>
          <w:sz w:val="30"/>
          <w:szCs w:val="30"/>
        </w:rPr>
        <w:t>351.32</w:t>
      </w:r>
      <w:r>
        <w:rPr>
          <w:rFonts w:hint="eastAsia"/>
          <w:sz w:val="32"/>
          <w:szCs w:val="32"/>
        </w:rPr>
        <w:t>万元，完成年初预算的</w:t>
      </w:r>
      <w:r>
        <w:rPr>
          <w:rFonts w:ascii="Times New Roman" w:hAnsi="Times New Roman" w:cs="Times New Roman"/>
          <w:sz w:val="32"/>
          <w:szCs w:val="32"/>
        </w:rPr>
        <w:t>373.98</w:t>
      </w:r>
      <w:r>
        <w:rPr>
          <w:rFonts w:hint="eastAsia"/>
          <w:sz w:val="32"/>
          <w:szCs w:val="32"/>
        </w:rPr>
        <w:t>%。决算数与年初预算数的差异原因：年中依据财政厅文件追加离退休人员工资调整支出经费。</w:t>
      </w:r>
    </w:p>
    <w:p>
      <w:pPr>
        <w:spacing w:before="100" w:beforeAutospacing="1" w:after="100" w:afterAutospacing="1" w:line="560" w:lineRule="atLeast"/>
        <w:ind w:firstLine="640" w:firstLineChars="200"/>
        <w:jc w:val="both"/>
      </w:pPr>
      <w:r>
        <w:rPr>
          <w:rFonts w:ascii="Times New Roman" w:hAnsi="Times New Roman" w:cs="Times New Roman"/>
          <w:sz w:val="32"/>
          <w:szCs w:val="32"/>
        </w:rPr>
        <w:t>2</w:t>
      </w:r>
      <w:r>
        <w:rPr>
          <w:rFonts w:hint="eastAsia"/>
          <w:sz w:val="32"/>
          <w:szCs w:val="32"/>
        </w:rPr>
        <w:t>．行政事业单位养老支出（款）机关事业单位基本养老保险缴费支出（项）。年初预算</w:t>
      </w:r>
      <w:r>
        <w:rPr>
          <w:rFonts w:ascii="Times New Roman" w:hAnsi="Times New Roman" w:cs="Times New Roman"/>
          <w:sz w:val="32"/>
          <w:szCs w:val="32"/>
        </w:rPr>
        <w:t>165.8</w:t>
      </w:r>
      <w:r>
        <w:rPr>
          <w:rFonts w:hint="eastAsia"/>
          <w:sz w:val="32"/>
          <w:szCs w:val="32"/>
        </w:rPr>
        <w:t>万元，支出决算</w:t>
      </w:r>
      <w:r>
        <w:rPr>
          <w:rFonts w:ascii="Times New Roman" w:hAnsi="Times New Roman" w:cs="Times New Roman"/>
          <w:sz w:val="30"/>
          <w:szCs w:val="30"/>
        </w:rPr>
        <w:t>265.50</w:t>
      </w:r>
      <w:r>
        <w:rPr>
          <w:rFonts w:hint="eastAsia"/>
          <w:sz w:val="32"/>
          <w:szCs w:val="32"/>
        </w:rPr>
        <w:t>万元，完成年初预算的</w:t>
      </w:r>
      <w:r>
        <w:rPr>
          <w:rFonts w:ascii="Times New Roman" w:hAnsi="Times New Roman" w:cs="Times New Roman"/>
          <w:sz w:val="32"/>
          <w:szCs w:val="32"/>
        </w:rPr>
        <w:t>160.13</w:t>
      </w:r>
      <w:r>
        <w:rPr>
          <w:rFonts w:hint="eastAsia"/>
          <w:sz w:val="32"/>
          <w:szCs w:val="32"/>
        </w:rPr>
        <w:t>%。决算数与年初预算数的差异原因：年中依据工资调增追加养老保险缴费支出经费。</w:t>
      </w:r>
    </w:p>
    <w:p>
      <w:pPr>
        <w:spacing w:before="100" w:beforeAutospacing="1" w:after="100" w:afterAutospacing="1" w:line="560" w:lineRule="atLeast"/>
        <w:ind w:firstLine="640" w:firstLineChars="200"/>
        <w:jc w:val="both"/>
        <w:rPr>
          <w:sz w:val="32"/>
          <w:szCs w:val="32"/>
        </w:rPr>
      </w:pPr>
      <w:r>
        <w:rPr>
          <w:rFonts w:ascii="Times New Roman" w:hAnsi="Times New Roman" w:cs="Times New Roman"/>
          <w:sz w:val="32"/>
          <w:szCs w:val="32"/>
        </w:rPr>
        <w:t>4</w:t>
      </w:r>
      <w:r>
        <w:rPr>
          <w:rFonts w:hint="eastAsia"/>
          <w:sz w:val="32"/>
          <w:szCs w:val="32"/>
        </w:rPr>
        <w:t>．行政事业单位养老支出（款）机关事业单位职业年金缴费支出（项）。年初预算</w:t>
      </w:r>
      <w:r>
        <w:rPr>
          <w:rFonts w:ascii="Times New Roman" w:hAnsi="Times New Roman" w:cs="Times New Roman"/>
          <w:sz w:val="32"/>
          <w:szCs w:val="32"/>
        </w:rPr>
        <w:t>84</w:t>
      </w:r>
      <w:r>
        <w:rPr>
          <w:rFonts w:hint="eastAsia"/>
          <w:sz w:val="32"/>
          <w:szCs w:val="32"/>
        </w:rPr>
        <w:t>万元，支出决算</w:t>
      </w:r>
      <w:r>
        <w:rPr>
          <w:rFonts w:ascii="Times New Roman" w:hAnsi="Times New Roman" w:cs="Times New Roman"/>
          <w:sz w:val="30"/>
          <w:szCs w:val="30"/>
        </w:rPr>
        <w:t>134.10</w:t>
      </w:r>
      <w:r>
        <w:rPr>
          <w:rFonts w:hint="eastAsia"/>
          <w:sz w:val="32"/>
          <w:szCs w:val="32"/>
        </w:rPr>
        <w:t>万元，完成年初预算的</w:t>
      </w:r>
      <w:r>
        <w:rPr>
          <w:rFonts w:ascii="Times New Roman" w:hAnsi="Times New Roman" w:cs="Times New Roman"/>
          <w:sz w:val="32"/>
          <w:szCs w:val="32"/>
        </w:rPr>
        <w:t>159.64</w:t>
      </w:r>
      <w:r>
        <w:rPr>
          <w:rFonts w:hint="eastAsia"/>
          <w:sz w:val="32"/>
          <w:szCs w:val="32"/>
        </w:rPr>
        <w:t>%。决算数与年初预算数的差异原因：年中依据工资调增追加职业年金缴费支出经费。</w:t>
      </w:r>
    </w:p>
    <w:p>
      <w:pPr>
        <w:spacing w:before="100" w:beforeAutospacing="1" w:after="100" w:afterAutospacing="1" w:line="560" w:lineRule="atLeast"/>
        <w:ind w:firstLine="640" w:firstLineChars="200"/>
        <w:jc w:val="both"/>
      </w:pPr>
      <w:r>
        <w:rPr>
          <w:rFonts w:hint="eastAsia"/>
          <w:sz w:val="32"/>
          <w:szCs w:val="32"/>
        </w:rPr>
        <w:t>5.抚恤（款）死亡抚恤（项）。年初预算0万元，支出决算60.37万元。决算数与年初预算数的差异原因：去世人员发放抚恤金。</w:t>
      </w:r>
    </w:p>
    <w:p>
      <w:pPr>
        <w:spacing w:before="100" w:beforeAutospacing="1" w:after="100" w:afterAutospacing="1" w:line="560" w:lineRule="atLeast"/>
        <w:ind w:firstLine="643" w:firstLineChars="200"/>
        <w:jc w:val="both"/>
      </w:pPr>
      <w:r>
        <w:rPr>
          <w:rFonts w:hint="eastAsia" w:ascii="楷体" w:hAnsi="楷体" w:eastAsia="楷体"/>
          <w:b/>
          <w:bCs/>
          <w:sz w:val="32"/>
          <w:szCs w:val="32"/>
        </w:rPr>
        <w:t>（四）卫生健康支出（类）</w:t>
      </w:r>
    </w:p>
    <w:p>
      <w:pPr>
        <w:spacing w:before="100" w:beforeAutospacing="1" w:after="100" w:afterAutospacing="1" w:line="560" w:lineRule="atLeast"/>
        <w:ind w:firstLine="640" w:firstLineChars="200"/>
        <w:jc w:val="both"/>
      </w:pPr>
      <w:r>
        <w:rPr>
          <w:rFonts w:hint="eastAsia"/>
          <w:sz w:val="32"/>
          <w:szCs w:val="32"/>
        </w:rPr>
        <w:t>卫生健康支出类决算数为</w:t>
      </w:r>
      <w:r>
        <w:rPr>
          <w:rFonts w:ascii="Times New Roman" w:hAnsi="Times New Roman" w:cs="Times New Roman"/>
          <w:sz w:val="32"/>
          <w:szCs w:val="32"/>
        </w:rPr>
        <w:t>83.20</w:t>
      </w:r>
      <w:r>
        <w:rPr>
          <w:rFonts w:hint="eastAsia"/>
          <w:sz w:val="32"/>
          <w:szCs w:val="32"/>
        </w:rPr>
        <w:t>万元，与年初预算相比无变动。其中：</w:t>
      </w:r>
    </w:p>
    <w:p>
      <w:pPr>
        <w:spacing w:before="100" w:beforeAutospacing="1" w:after="100" w:afterAutospacing="1" w:line="560" w:lineRule="atLeast"/>
        <w:ind w:firstLine="640" w:firstLineChars="200"/>
        <w:jc w:val="both"/>
      </w:pPr>
      <w:r>
        <w:rPr>
          <w:rFonts w:ascii="Times New Roman" w:hAnsi="Times New Roman" w:cs="Times New Roman"/>
          <w:sz w:val="32"/>
          <w:szCs w:val="32"/>
        </w:rPr>
        <w:t>1</w:t>
      </w:r>
      <w:r>
        <w:rPr>
          <w:rFonts w:hint="eastAsia"/>
          <w:sz w:val="32"/>
          <w:szCs w:val="32"/>
        </w:rPr>
        <w:t>．行政事业单位医疗（款）行政单位医疗（项）。年初预算</w:t>
      </w:r>
      <w:r>
        <w:rPr>
          <w:rFonts w:ascii="Times New Roman" w:hAnsi="Times New Roman" w:cs="Times New Roman"/>
          <w:sz w:val="32"/>
          <w:szCs w:val="32"/>
        </w:rPr>
        <w:t>0</w:t>
      </w:r>
      <w:r>
        <w:rPr>
          <w:rFonts w:hint="eastAsia"/>
          <w:sz w:val="32"/>
          <w:szCs w:val="32"/>
        </w:rPr>
        <w:t>万元，支出决算</w:t>
      </w:r>
      <w:r>
        <w:rPr>
          <w:rFonts w:ascii="Times New Roman" w:hAnsi="Times New Roman" w:cs="Times New Roman"/>
          <w:sz w:val="30"/>
          <w:szCs w:val="30"/>
        </w:rPr>
        <w:t>0.00</w:t>
      </w:r>
      <w:r>
        <w:rPr>
          <w:rFonts w:hint="eastAsia"/>
          <w:sz w:val="32"/>
          <w:szCs w:val="32"/>
        </w:rPr>
        <w:t>万元，我单位无此项预算。</w:t>
      </w:r>
    </w:p>
    <w:p>
      <w:pPr>
        <w:spacing w:before="100" w:beforeAutospacing="1" w:after="100" w:afterAutospacing="1" w:line="560" w:lineRule="atLeast"/>
        <w:ind w:firstLine="640" w:firstLineChars="200"/>
        <w:jc w:val="both"/>
      </w:pPr>
      <w:r>
        <w:rPr>
          <w:rFonts w:ascii="Times New Roman" w:hAnsi="Times New Roman" w:cs="Times New Roman"/>
          <w:sz w:val="32"/>
          <w:szCs w:val="32"/>
        </w:rPr>
        <w:t>2</w:t>
      </w:r>
      <w:r>
        <w:rPr>
          <w:rFonts w:hint="eastAsia"/>
          <w:sz w:val="32"/>
          <w:szCs w:val="32"/>
        </w:rPr>
        <w:t>．行政事业单位医疗（款）事业单位医疗（项）。年初预算</w:t>
      </w:r>
      <w:r>
        <w:rPr>
          <w:rFonts w:ascii="Times New Roman" w:hAnsi="Times New Roman" w:cs="Times New Roman"/>
          <w:sz w:val="32"/>
          <w:szCs w:val="32"/>
        </w:rPr>
        <w:t>83.2</w:t>
      </w:r>
      <w:r>
        <w:rPr>
          <w:rFonts w:hint="eastAsia"/>
          <w:sz w:val="32"/>
          <w:szCs w:val="32"/>
        </w:rPr>
        <w:t>万元，支出决算</w:t>
      </w:r>
      <w:r>
        <w:rPr>
          <w:rFonts w:ascii="Times New Roman" w:hAnsi="Times New Roman" w:cs="Times New Roman"/>
          <w:sz w:val="30"/>
          <w:szCs w:val="30"/>
        </w:rPr>
        <w:t>83.20</w:t>
      </w:r>
      <w:r>
        <w:rPr>
          <w:rFonts w:hint="eastAsia"/>
          <w:sz w:val="32"/>
          <w:szCs w:val="32"/>
        </w:rPr>
        <w:t>万元，完成年初预算的</w:t>
      </w:r>
      <w:r>
        <w:rPr>
          <w:rFonts w:ascii="Times New Roman" w:hAnsi="Times New Roman" w:cs="Times New Roman"/>
          <w:sz w:val="32"/>
          <w:szCs w:val="32"/>
        </w:rPr>
        <w:t>100</w:t>
      </w:r>
      <w:r>
        <w:rPr>
          <w:rFonts w:hint="eastAsia"/>
          <w:sz w:val="32"/>
          <w:szCs w:val="32"/>
        </w:rPr>
        <w:t>%。决算数与年初预算数无差异。</w:t>
      </w:r>
    </w:p>
    <w:p>
      <w:pPr>
        <w:spacing w:before="100" w:beforeAutospacing="1" w:after="100" w:afterAutospacing="1" w:line="560" w:lineRule="atLeast"/>
        <w:ind w:firstLine="640" w:firstLineChars="200"/>
        <w:jc w:val="both"/>
      </w:pPr>
      <w:r>
        <w:rPr>
          <w:rFonts w:ascii="Times New Roman" w:hAnsi="Times New Roman" w:cs="Times New Roman"/>
          <w:sz w:val="32"/>
          <w:szCs w:val="32"/>
        </w:rPr>
        <w:t>3</w:t>
      </w:r>
      <w:r>
        <w:rPr>
          <w:rFonts w:hint="eastAsia"/>
          <w:sz w:val="32"/>
          <w:szCs w:val="32"/>
        </w:rPr>
        <w:t>．行政事业单位医疗（款）公务员医疗补助（项）。年初预算</w:t>
      </w:r>
      <w:r>
        <w:rPr>
          <w:rFonts w:ascii="Times New Roman" w:hAnsi="Times New Roman" w:cs="Times New Roman"/>
          <w:sz w:val="32"/>
          <w:szCs w:val="32"/>
        </w:rPr>
        <w:t>0</w:t>
      </w:r>
      <w:r>
        <w:rPr>
          <w:rFonts w:hint="eastAsia"/>
          <w:sz w:val="32"/>
          <w:szCs w:val="32"/>
        </w:rPr>
        <w:t>万元，支出决算</w:t>
      </w:r>
      <w:r>
        <w:rPr>
          <w:rFonts w:ascii="Times New Roman" w:hAnsi="Times New Roman" w:cs="Times New Roman"/>
          <w:sz w:val="30"/>
          <w:szCs w:val="30"/>
        </w:rPr>
        <w:t>0.00</w:t>
      </w:r>
      <w:r>
        <w:rPr>
          <w:rFonts w:hint="eastAsia"/>
          <w:sz w:val="32"/>
          <w:szCs w:val="32"/>
        </w:rPr>
        <w:t>万元，我单位无此项预算。</w:t>
      </w:r>
    </w:p>
    <w:p>
      <w:pPr>
        <w:spacing w:before="100" w:beforeAutospacing="1" w:after="100" w:afterAutospacing="1" w:line="560" w:lineRule="atLeast"/>
        <w:ind w:firstLine="643" w:firstLineChars="200"/>
        <w:jc w:val="both"/>
      </w:pPr>
      <w:r>
        <w:rPr>
          <w:rFonts w:hint="eastAsia" w:ascii="楷体" w:hAnsi="楷体" w:eastAsia="楷体"/>
          <w:b/>
          <w:bCs/>
          <w:sz w:val="32"/>
          <w:szCs w:val="32"/>
        </w:rPr>
        <w:t>（五）住房保障支出（类）</w:t>
      </w:r>
    </w:p>
    <w:p>
      <w:pPr>
        <w:spacing w:before="100" w:beforeAutospacing="1" w:after="100" w:afterAutospacing="1" w:line="560" w:lineRule="atLeast"/>
        <w:ind w:firstLine="640" w:firstLineChars="200"/>
        <w:jc w:val="both"/>
      </w:pPr>
      <w:r>
        <w:rPr>
          <w:rFonts w:hint="eastAsia"/>
          <w:sz w:val="32"/>
          <w:szCs w:val="32"/>
        </w:rPr>
        <w:t>住房保障支出类决算数为</w:t>
      </w:r>
      <w:r>
        <w:rPr>
          <w:rFonts w:ascii="Times New Roman" w:hAnsi="Times New Roman" w:cs="Times New Roman"/>
          <w:sz w:val="32"/>
          <w:szCs w:val="32"/>
        </w:rPr>
        <w:t>202.92</w:t>
      </w:r>
      <w:r>
        <w:rPr>
          <w:rFonts w:hint="eastAsia"/>
          <w:sz w:val="32"/>
          <w:szCs w:val="32"/>
        </w:rPr>
        <w:t>万元，与年初预算相比增加</w:t>
      </w:r>
      <w:r>
        <w:rPr>
          <w:rFonts w:ascii="Times New Roman" w:hAnsi="Times New Roman" w:cs="Times New Roman"/>
          <w:sz w:val="32"/>
          <w:szCs w:val="32"/>
        </w:rPr>
        <w:t>98</w:t>
      </w:r>
      <w:r>
        <w:rPr>
          <w:rFonts w:hint="eastAsia"/>
          <w:sz w:val="32"/>
          <w:szCs w:val="32"/>
        </w:rPr>
        <w:t>万元。其中：</w:t>
      </w:r>
    </w:p>
    <w:p>
      <w:pPr>
        <w:spacing w:before="100" w:beforeAutospacing="1" w:after="100" w:afterAutospacing="1" w:line="560" w:lineRule="atLeast"/>
        <w:ind w:firstLine="640" w:firstLineChars="200"/>
        <w:jc w:val="both"/>
        <w:rPr>
          <w:color w:val="000000" w:themeColor="text1"/>
          <w14:textFill>
            <w14:solidFill>
              <w14:schemeClr w14:val="tx1"/>
            </w14:solidFill>
          </w14:textFill>
        </w:rPr>
      </w:pPr>
      <w:r>
        <w:rPr>
          <w:rFonts w:ascii="Times New Roman" w:hAnsi="Times New Roman" w:cs="Times New Roman"/>
          <w:sz w:val="32"/>
          <w:szCs w:val="32"/>
        </w:rPr>
        <w:t>1</w:t>
      </w:r>
      <w:r>
        <w:rPr>
          <w:rFonts w:hint="eastAsia"/>
          <w:sz w:val="32"/>
          <w:szCs w:val="32"/>
        </w:rPr>
        <w:t>．住房改革支出(款)--住房公积金(项)预算数为104.92万元，决算数为202.92万元。</w:t>
      </w:r>
      <w:r>
        <w:rPr>
          <w:rFonts w:hint="eastAsia"/>
          <w:color w:val="000000" w:themeColor="text1"/>
          <w:sz w:val="32"/>
          <w:szCs w:val="32"/>
          <w14:textFill>
            <w14:solidFill>
              <w14:schemeClr w14:val="tx1"/>
            </w14:solidFill>
          </w14:textFill>
        </w:rPr>
        <w:t>与年初预算产生差异的主要原因是：依据人员工资正常调增追加相应增长的住房公积金经费。</w:t>
      </w:r>
    </w:p>
    <w:p>
      <w:pPr>
        <w:spacing w:before="100" w:beforeAutospacing="1" w:after="100" w:afterAutospacing="1" w:line="600" w:lineRule="atLeast"/>
        <w:ind w:firstLine="643" w:firstLineChars="200"/>
        <w:jc w:val="both"/>
      </w:pPr>
      <w:r>
        <w:rPr>
          <w:rFonts w:hint="eastAsia" w:ascii="黑体" w:hAnsi="黑体" w:eastAsia="黑体"/>
          <w:b/>
          <w:bCs/>
          <w:sz w:val="32"/>
          <w:szCs w:val="32"/>
        </w:rPr>
        <w:t>六、一般公共预算基本支出决算情况说明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内蒙古自治区特种设备检验研究院部门2022年度一般公共预算财政拨款基本支出决算</w:t>
      </w:r>
      <w:r>
        <w:rPr>
          <w:rFonts w:ascii="Times New Roman" w:hAnsi="Times New Roman" w:cs="Times New Roman"/>
          <w:sz w:val="32"/>
          <w:szCs w:val="32"/>
        </w:rPr>
        <w:t>1,833.65</w:t>
      </w:r>
      <w:r>
        <w:rPr>
          <w:rFonts w:hint="eastAsia"/>
          <w:sz w:val="32"/>
          <w:szCs w:val="32"/>
        </w:rPr>
        <w:t>万元，其中：</w:t>
      </w:r>
    </w:p>
    <w:p>
      <w:pPr>
        <w:spacing w:before="100" w:beforeAutospacing="1" w:after="100" w:afterAutospacing="1" w:line="560" w:lineRule="atLeast"/>
        <w:ind w:firstLine="643" w:firstLineChars="200"/>
        <w:jc w:val="both"/>
      </w:pPr>
      <w:r>
        <w:rPr>
          <w:rFonts w:hint="eastAsia"/>
          <w:b/>
          <w:bCs/>
          <w:sz w:val="32"/>
          <w:szCs w:val="32"/>
        </w:rPr>
        <w:t>（一）人员经费</w:t>
      </w:r>
      <w:r>
        <w:rPr>
          <w:rFonts w:ascii="Times New Roman" w:hAnsi="Times New Roman" w:cs="Times New Roman"/>
          <w:b/>
          <w:bCs/>
          <w:sz w:val="32"/>
          <w:szCs w:val="32"/>
        </w:rPr>
        <w:t>1,826.23</w:t>
      </w:r>
      <w:r>
        <w:rPr>
          <w:rFonts w:hint="eastAsia"/>
          <w:b/>
          <w:bCs/>
          <w:sz w:val="32"/>
          <w:szCs w:val="32"/>
        </w:rPr>
        <w:t>万元</w:t>
      </w:r>
      <w:r>
        <w:rPr>
          <w:rFonts w:hint="eastAsia"/>
          <w:sz w:val="32"/>
          <w:szCs w:val="32"/>
        </w:rPr>
        <w:t>。主要包括：基本工资286.69万元、津贴补贴1.89万元、奖金799.94万元、社会保障缴费149.8万元、绩效工资32.53万元、退休费378.86万元、抚恤金60.37万元、生活补助17.07万元、住房公积金99.08万元。</w:t>
      </w:r>
    </w:p>
    <w:p>
      <w:pPr>
        <w:spacing w:before="100" w:beforeAutospacing="1" w:after="100" w:afterAutospacing="1" w:line="560" w:lineRule="atLeast"/>
        <w:ind w:firstLine="643" w:firstLineChars="200"/>
        <w:jc w:val="both"/>
      </w:pPr>
      <w:r>
        <w:rPr>
          <w:rFonts w:hint="eastAsia"/>
          <w:b/>
          <w:bCs/>
          <w:sz w:val="32"/>
          <w:szCs w:val="32"/>
        </w:rPr>
        <w:t>（二）公用经费</w:t>
      </w:r>
      <w:r>
        <w:rPr>
          <w:rFonts w:ascii="Times New Roman" w:hAnsi="Times New Roman" w:cs="Times New Roman"/>
          <w:b/>
          <w:bCs/>
          <w:sz w:val="32"/>
          <w:szCs w:val="32"/>
        </w:rPr>
        <w:t>7.43</w:t>
      </w:r>
      <w:r>
        <w:rPr>
          <w:rFonts w:hint="eastAsia"/>
          <w:b/>
          <w:bCs/>
          <w:sz w:val="32"/>
          <w:szCs w:val="32"/>
        </w:rPr>
        <w:t>万元</w:t>
      </w:r>
      <w:r>
        <w:rPr>
          <w:rFonts w:hint="eastAsia"/>
          <w:sz w:val="32"/>
          <w:szCs w:val="32"/>
        </w:rPr>
        <w:t>。主要包括：办公费5.09万元、邮电费0.12万元、差旅费0.17万元、劳务费0.06万元、工会经费0.1万元、其他商品和服务支出1.89万元。</w:t>
      </w:r>
    </w:p>
    <w:p>
      <w:pPr>
        <w:spacing w:before="100" w:beforeAutospacing="1" w:after="100" w:afterAutospacing="1" w:line="600" w:lineRule="atLeast"/>
        <w:ind w:firstLine="643" w:firstLineChars="200"/>
        <w:jc w:val="both"/>
      </w:pPr>
      <w:r>
        <w:rPr>
          <w:rFonts w:hint="eastAsia" w:ascii="黑体" w:hAnsi="黑体" w:eastAsia="黑体"/>
          <w:b/>
          <w:bCs/>
          <w:color w:val="000000"/>
          <w:sz w:val="32"/>
          <w:szCs w:val="32"/>
        </w:rPr>
        <w:t>七、一般公共预算项目支出决算情况说明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内蒙古自治区特种设备检验研究院部门2022年度一般公共预算财政拨款项目支出决算</w:t>
      </w:r>
      <w:r>
        <w:rPr>
          <w:rFonts w:ascii="Times New Roman" w:hAnsi="Times New Roman" w:cs="Times New Roman"/>
          <w:sz w:val="32"/>
          <w:szCs w:val="32"/>
        </w:rPr>
        <w:t>29,632.87</w:t>
      </w:r>
      <w:r>
        <w:rPr>
          <w:rFonts w:hint="eastAsia"/>
          <w:sz w:val="32"/>
          <w:szCs w:val="32"/>
        </w:rPr>
        <w:t>万元，其中：</w:t>
      </w:r>
    </w:p>
    <w:p>
      <w:pPr>
        <w:spacing w:before="100" w:beforeAutospacing="1" w:after="100" w:afterAutospacing="1" w:line="560" w:lineRule="atLeast"/>
        <w:ind w:firstLine="643" w:firstLineChars="200"/>
        <w:jc w:val="both"/>
      </w:pPr>
      <w:r>
        <w:rPr>
          <w:rFonts w:hint="eastAsia"/>
          <w:b/>
          <w:bCs/>
          <w:color w:val="000000"/>
          <w:sz w:val="32"/>
          <w:szCs w:val="32"/>
        </w:rPr>
        <w:t>（一）工资福利支出</w:t>
      </w:r>
      <w:r>
        <w:rPr>
          <w:rFonts w:ascii="Times New Roman" w:hAnsi="Times New Roman" w:cs="Times New Roman"/>
          <w:b/>
          <w:bCs/>
          <w:color w:val="000000"/>
          <w:sz w:val="32"/>
          <w:szCs w:val="32"/>
        </w:rPr>
        <w:t>18,165.04</w:t>
      </w:r>
      <w:r>
        <w:rPr>
          <w:rFonts w:hint="eastAsia"/>
          <w:b/>
          <w:bCs/>
          <w:color w:val="000000"/>
          <w:sz w:val="32"/>
          <w:szCs w:val="32"/>
        </w:rPr>
        <w:t>万元</w:t>
      </w:r>
      <w:r>
        <w:rPr>
          <w:rFonts w:hint="eastAsia"/>
          <w:color w:val="000000"/>
          <w:sz w:val="32"/>
          <w:szCs w:val="32"/>
        </w:rPr>
        <w:t>。主要包括：基本工资2601万元、津贴补贴1362.89万元、奖金2.8万元、绩效工资1717.83万元、机关事业单位基本养老保险缴费816.82万元、职业年金缴费658.15万元、职工基本医疗保险缴费465.12万元、公务员医疗补助缴费93.24万元、其他社会保障缴费55.55万元、住房公积金609.8万元、医疗费0.14万元、其他工资福利支出9781.69万元。</w:t>
      </w:r>
    </w:p>
    <w:p>
      <w:pPr>
        <w:spacing w:before="100" w:beforeAutospacing="1" w:after="100" w:afterAutospacing="1" w:line="560" w:lineRule="atLeast"/>
        <w:ind w:firstLine="643" w:firstLineChars="200"/>
        <w:jc w:val="both"/>
        <w:rPr>
          <w:color w:val="000000"/>
          <w:sz w:val="32"/>
          <w:szCs w:val="32"/>
        </w:rPr>
      </w:pPr>
      <w:r>
        <w:rPr>
          <w:rFonts w:hint="eastAsia"/>
          <w:b/>
          <w:bCs/>
          <w:color w:val="000000"/>
          <w:sz w:val="32"/>
          <w:szCs w:val="32"/>
        </w:rPr>
        <w:t>（二）商品和服务支出</w:t>
      </w:r>
      <w:r>
        <w:rPr>
          <w:rFonts w:ascii="Times New Roman" w:hAnsi="Times New Roman" w:cs="Times New Roman"/>
          <w:b/>
          <w:bCs/>
          <w:color w:val="000000"/>
          <w:sz w:val="32"/>
          <w:szCs w:val="32"/>
        </w:rPr>
        <w:t>8,266.61</w:t>
      </w:r>
      <w:r>
        <w:rPr>
          <w:rFonts w:hint="eastAsia"/>
          <w:b/>
          <w:bCs/>
          <w:color w:val="000000"/>
          <w:sz w:val="32"/>
          <w:szCs w:val="32"/>
        </w:rPr>
        <w:t>万元</w:t>
      </w:r>
      <w:r>
        <w:rPr>
          <w:rFonts w:hint="eastAsia"/>
          <w:color w:val="000000"/>
          <w:sz w:val="32"/>
          <w:szCs w:val="32"/>
        </w:rPr>
        <w:t>。主要包括：办公费632.72万元、印刷费74.93万元、咨询费2万元、手续费3.41万元、水费42.06万元、电费176.48万元、邮电费86.83万元、取暖费419.58万元、物业管理费342.22万元、差旅费1375.38万元、维修（护）费463.29万元、租赁费601.2万元、会议费4万元、培训费222.3万元、公务接待费8.7万元、专用材料费526.88万元、专用燃料费12.3万元、劳务费1308.93万元、委托业务费601.98万元、工会经费332.34万元、福利费322.15万元、公务用车运行维护费455.85万元、其他交通费用137.57万元、税金及附加费用83.48万元、其他商品和服务支出30.02万元。</w:t>
      </w:r>
    </w:p>
    <w:p>
      <w:pPr>
        <w:spacing w:before="100" w:beforeAutospacing="1" w:after="100" w:afterAutospacing="1" w:line="560" w:lineRule="atLeast"/>
        <w:ind w:firstLine="643" w:firstLineChars="200"/>
        <w:jc w:val="both"/>
      </w:pPr>
      <w:r>
        <w:rPr>
          <w:rFonts w:hint="eastAsia"/>
          <w:b/>
          <w:bCs/>
          <w:color w:val="000000"/>
          <w:sz w:val="32"/>
          <w:szCs w:val="32"/>
        </w:rPr>
        <w:t>（三）对个人和家庭的补助</w:t>
      </w:r>
      <w:r>
        <w:rPr>
          <w:rFonts w:ascii="Times New Roman" w:hAnsi="Times New Roman" w:cs="Times New Roman"/>
          <w:b/>
          <w:bCs/>
          <w:color w:val="000000"/>
          <w:sz w:val="32"/>
          <w:szCs w:val="32"/>
        </w:rPr>
        <w:t>42.68</w:t>
      </w:r>
      <w:r>
        <w:rPr>
          <w:rFonts w:hint="eastAsia"/>
          <w:b/>
          <w:bCs/>
          <w:color w:val="000000"/>
          <w:sz w:val="32"/>
          <w:szCs w:val="32"/>
        </w:rPr>
        <w:t>万元</w:t>
      </w:r>
      <w:r>
        <w:rPr>
          <w:rFonts w:hint="eastAsia"/>
          <w:color w:val="000000"/>
          <w:sz w:val="32"/>
          <w:szCs w:val="32"/>
        </w:rPr>
        <w:t>。主要包括：退休费42.67万元、奖励金0.01万元。</w:t>
      </w:r>
    </w:p>
    <w:p>
      <w:pPr>
        <w:spacing w:before="100" w:beforeAutospacing="1" w:after="100" w:afterAutospacing="1" w:line="600" w:lineRule="atLeast"/>
        <w:ind w:firstLine="643" w:firstLineChars="200"/>
        <w:jc w:val="both"/>
      </w:pPr>
      <w:r>
        <w:rPr>
          <w:rFonts w:hint="eastAsia" w:ascii="黑体" w:hAnsi="黑体" w:eastAsia="黑体"/>
          <w:b/>
          <w:bCs/>
          <w:color w:val="000000"/>
          <w:sz w:val="32"/>
          <w:szCs w:val="32"/>
        </w:rPr>
        <w:t>八、</w:t>
      </w:r>
      <w:r>
        <w:rPr>
          <w:rFonts w:hint="eastAsia" w:ascii="黑体" w:hAnsi="黑体" w:eastAsia="黑体"/>
          <w:b/>
          <w:bCs/>
          <w:sz w:val="32"/>
          <w:szCs w:val="32"/>
        </w:rPr>
        <w:t>财政拨款</w:t>
      </w:r>
      <w:r>
        <w:rPr>
          <w:rFonts w:ascii="Times New Roman" w:hAnsi="Times New Roman" w:cs="Times New Roman"/>
          <w:b/>
          <w:bCs/>
          <w:sz w:val="32"/>
          <w:szCs w:val="32"/>
        </w:rPr>
        <w:t>“</w:t>
      </w:r>
      <w:r>
        <w:rPr>
          <w:rFonts w:hint="eastAsia" w:ascii="黑体" w:hAnsi="黑体" w:eastAsia="黑体"/>
          <w:b/>
          <w:bCs/>
          <w:sz w:val="32"/>
          <w:szCs w:val="32"/>
        </w:rPr>
        <w:t>三公</w:t>
      </w:r>
      <w:r>
        <w:rPr>
          <w:rFonts w:ascii="Times New Roman" w:hAnsi="Times New Roman" w:cs="Times New Roman"/>
          <w:b/>
          <w:bCs/>
          <w:sz w:val="32"/>
          <w:szCs w:val="32"/>
        </w:rPr>
        <w:t>”</w:t>
      </w:r>
      <w:r>
        <w:rPr>
          <w:rFonts w:hint="eastAsia" w:ascii="黑体" w:hAnsi="黑体" w:eastAsia="黑体"/>
          <w:b/>
          <w:bCs/>
          <w:sz w:val="32"/>
          <w:szCs w:val="32"/>
        </w:rPr>
        <w:t>经费支出决算情况说明</w:t>
      </w:r>
    </w:p>
    <w:p>
      <w:pPr>
        <w:keepNext/>
        <w:spacing w:before="100" w:beforeAutospacing="1" w:after="100" w:afterAutospacing="1" w:line="560" w:lineRule="atLeast"/>
        <w:ind w:firstLine="643" w:firstLineChars="200"/>
        <w:jc w:val="both"/>
      </w:pPr>
      <w:r>
        <w:rPr>
          <w:rFonts w:hint="eastAsia" w:ascii="楷体" w:hAnsi="楷体" w:eastAsia="楷体"/>
          <w:b/>
          <w:bCs/>
          <w:sz w:val="32"/>
          <w:szCs w:val="32"/>
        </w:rPr>
        <w:t>（一）财政拨款</w:t>
      </w:r>
      <w:r>
        <w:rPr>
          <w:rFonts w:ascii="Times New Roman" w:hAnsi="Times New Roman" w:cs="Times New Roman"/>
          <w:b/>
          <w:bCs/>
          <w:sz w:val="32"/>
          <w:szCs w:val="32"/>
        </w:rPr>
        <w:t>“</w:t>
      </w:r>
      <w:r>
        <w:rPr>
          <w:rFonts w:hint="eastAsia" w:ascii="楷体" w:hAnsi="楷体" w:eastAsia="楷体"/>
          <w:b/>
          <w:bCs/>
          <w:sz w:val="32"/>
          <w:szCs w:val="32"/>
        </w:rPr>
        <w:t>三公</w:t>
      </w:r>
      <w:r>
        <w:rPr>
          <w:rFonts w:ascii="Times New Roman" w:hAnsi="Times New Roman" w:cs="Times New Roman"/>
          <w:b/>
          <w:bCs/>
          <w:sz w:val="32"/>
          <w:szCs w:val="32"/>
        </w:rPr>
        <w:t>”</w:t>
      </w:r>
      <w:r>
        <w:rPr>
          <w:rFonts w:hint="eastAsia" w:ascii="楷体" w:hAnsi="楷体" w:eastAsia="楷体"/>
          <w:b/>
          <w:bCs/>
          <w:sz w:val="32"/>
          <w:szCs w:val="32"/>
        </w:rPr>
        <w:t>经费支出总体情况说明。</w:t>
      </w:r>
    </w:p>
    <w:p>
      <w:pPr>
        <w:spacing w:before="100" w:beforeAutospacing="1" w:after="100" w:afterAutospacing="1" w:line="560" w:lineRule="atLeast"/>
        <w:ind w:firstLine="640" w:firstLineChars="200"/>
        <w:jc w:val="both"/>
        <w:rPr>
          <w:color w:val="000000" w:themeColor="text1"/>
          <w14:textFill>
            <w14:solidFill>
              <w14:schemeClr w14:val="tx1"/>
            </w14:solidFill>
          </w14:textFill>
        </w:rPr>
      </w:pPr>
      <w:r>
        <w:rPr>
          <w:rFonts w:hint="eastAsia"/>
          <w:color w:val="000000" w:themeColor="text1"/>
          <w:sz w:val="32"/>
          <w:szCs w:val="32"/>
          <w14:textFill>
            <w14:solidFill>
              <w14:schemeClr w14:val="tx1"/>
            </w14:solidFill>
          </w14:textFill>
        </w:rPr>
        <w:t>内蒙古自治区特种设备检验研究院部门</w:t>
      </w:r>
      <w:r>
        <w:rPr>
          <w:rFonts w:ascii="Times New Roman" w:hAnsi="Times New Roman" w:cs="Times New Roman"/>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2022年度财政拨款</w:t>
      </w:r>
      <w:r>
        <w:rPr>
          <w:rFonts w:ascii="Times New Roman" w:hAnsi="Times New Roman" w:cs="Times New Roman"/>
          <w:color w:val="000000" w:themeColor="text1"/>
          <w:sz w:val="32"/>
          <w:szCs w:val="32"/>
          <w14:textFill>
            <w14:solidFill>
              <w14:schemeClr w14:val="tx1"/>
            </w14:solidFill>
          </w14:textFill>
        </w:rPr>
        <w:t>“</w:t>
      </w:r>
      <w:r>
        <w:rPr>
          <w:rFonts w:hint="eastAsia"/>
          <w:color w:val="000000" w:themeColor="text1"/>
          <w:sz w:val="32"/>
          <w:szCs w:val="32"/>
          <w14:textFill>
            <w14:solidFill>
              <w14:schemeClr w14:val="tx1"/>
            </w14:solidFill>
          </w14:textFill>
        </w:rPr>
        <w:t>三公</w:t>
      </w:r>
      <w:r>
        <w:rPr>
          <w:rFonts w:ascii="Times New Roman" w:hAnsi="Times New Roman" w:cs="Times New Roman"/>
          <w:color w:val="000000" w:themeColor="text1"/>
          <w:sz w:val="32"/>
          <w:szCs w:val="32"/>
          <w14:textFill>
            <w14:solidFill>
              <w14:schemeClr w14:val="tx1"/>
            </w14:solidFill>
          </w14:textFill>
        </w:rPr>
        <w:t>”</w:t>
      </w:r>
      <w:r>
        <w:rPr>
          <w:rFonts w:hint="eastAsia"/>
          <w:color w:val="000000" w:themeColor="text1"/>
          <w:sz w:val="32"/>
          <w:szCs w:val="32"/>
          <w14:textFill>
            <w14:solidFill>
              <w14:schemeClr w14:val="tx1"/>
            </w14:solidFill>
          </w14:textFill>
        </w:rPr>
        <w:t>经费预算</w:t>
      </w:r>
      <w:r>
        <w:rPr>
          <w:rFonts w:ascii="Times New Roman" w:hAnsi="Times New Roman" w:cs="Times New Roman"/>
          <w:color w:val="000000" w:themeColor="text1"/>
          <w:sz w:val="32"/>
          <w:szCs w:val="32"/>
          <w14:textFill>
            <w14:solidFill>
              <w14:schemeClr w14:val="tx1"/>
            </w14:solidFill>
          </w14:textFill>
        </w:rPr>
        <w:t>644.16</w:t>
      </w:r>
      <w:r>
        <w:rPr>
          <w:rFonts w:hint="eastAsia"/>
          <w:color w:val="000000" w:themeColor="text1"/>
          <w:sz w:val="32"/>
          <w:szCs w:val="32"/>
          <w14:textFill>
            <w14:solidFill>
              <w14:schemeClr w14:val="tx1"/>
            </w14:solidFill>
          </w14:textFill>
        </w:rPr>
        <w:t>万元，支出决算</w:t>
      </w:r>
      <w:r>
        <w:rPr>
          <w:rFonts w:ascii="Times New Roman" w:hAnsi="Times New Roman" w:cs="Times New Roman"/>
          <w:color w:val="000000" w:themeColor="text1"/>
          <w:sz w:val="32"/>
          <w:szCs w:val="32"/>
          <w14:textFill>
            <w14:solidFill>
              <w14:schemeClr w14:val="tx1"/>
            </w14:solidFill>
          </w14:textFill>
        </w:rPr>
        <w:t>516.99</w:t>
      </w:r>
      <w:r>
        <w:rPr>
          <w:rFonts w:hint="eastAsia"/>
          <w:color w:val="000000" w:themeColor="text1"/>
          <w:sz w:val="32"/>
          <w:szCs w:val="32"/>
          <w14:textFill>
            <w14:solidFill>
              <w14:schemeClr w14:val="tx1"/>
            </w14:solidFill>
          </w14:textFill>
        </w:rPr>
        <w:t>万元，完成预算的</w:t>
      </w:r>
      <w:r>
        <w:rPr>
          <w:rFonts w:ascii="Times New Roman" w:hAnsi="Times New Roman" w:cs="Times New Roman"/>
          <w:color w:val="000000" w:themeColor="text1"/>
          <w:sz w:val="32"/>
          <w:szCs w:val="32"/>
          <w14:textFill>
            <w14:solidFill>
              <w14:schemeClr w14:val="tx1"/>
            </w14:solidFill>
          </w14:textFill>
        </w:rPr>
        <w:t>80.26</w:t>
      </w:r>
      <w:r>
        <w:rPr>
          <w:rFonts w:hint="eastAsia"/>
          <w:color w:val="000000" w:themeColor="text1"/>
          <w:sz w:val="32"/>
          <w:szCs w:val="32"/>
          <w14:textFill>
            <w14:solidFill>
              <w14:schemeClr w14:val="tx1"/>
            </w14:solidFill>
          </w14:textFill>
        </w:rPr>
        <w:t>%。其中：因公出国（境）费预算</w:t>
      </w:r>
      <w:r>
        <w:rPr>
          <w:rFonts w:ascii="Times New Roman" w:hAnsi="Times New Roman" w:cs="Times New Roman"/>
          <w:color w:val="000000" w:themeColor="text1"/>
          <w:sz w:val="32"/>
          <w:szCs w:val="32"/>
          <w14:textFill>
            <w14:solidFill>
              <w14:schemeClr w14:val="tx1"/>
            </w14:solidFill>
          </w14:textFill>
        </w:rPr>
        <w:t>0.00</w:t>
      </w:r>
      <w:r>
        <w:rPr>
          <w:rFonts w:hint="eastAsia"/>
          <w:color w:val="000000" w:themeColor="text1"/>
          <w:sz w:val="32"/>
          <w:szCs w:val="32"/>
          <w14:textFill>
            <w14:solidFill>
              <w14:schemeClr w14:val="tx1"/>
            </w14:solidFill>
          </w14:textFill>
        </w:rPr>
        <w:t>万元，支出决算</w:t>
      </w:r>
      <w:r>
        <w:rPr>
          <w:rFonts w:ascii="Times New Roman" w:hAnsi="Times New Roman" w:cs="Times New Roman"/>
          <w:color w:val="000000" w:themeColor="text1"/>
          <w:sz w:val="32"/>
          <w:szCs w:val="32"/>
          <w14:textFill>
            <w14:solidFill>
              <w14:schemeClr w14:val="tx1"/>
            </w14:solidFill>
          </w14:textFill>
        </w:rPr>
        <w:t>0.00</w:t>
      </w:r>
      <w:r>
        <w:rPr>
          <w:rFonts w:hint="eastAsia"/>
          <w:color w:val="000000" w:themeColor="text1"/>
          <w:sz w:val="32"/>
          <w:szCs w:val="32"/>
          <w14:textFill>
            <w14:solidFill>
              <w14:schemeClr w14:val="tx1"/>
            </w14:solidFill>
          </w14:textFill>
        </w:rPr>
        <w:t>万元，完成预算的</w:t>
      </w:r>
      <w:r>
        <w:rPr>
          <w:rFonts w:ascii="Times New Roman" w:hAnsi="Times New Roman" w:cs="Times New Roman"/>
          <w:color w:val="000000" w:themeColor="text1"/>
          <w:sz w:val="32"/>
          <w:szCs w:val="32"/>
          <w14:textFill>
            <w14:solidFill>
              <w14:schemeClr w14:val="tx1"/>
            </w14:solidFill>
          </w14:textFill>
        </w:rPr>
        <w:t>0.00</w:t>
      </w:r>
      <w:r>
        <w:rPr>
          <w:rFonts w:hint="eastAsia"/>
          <w:color w:val="000000" w:themeColor="text1"/>
          <w:sz w:val="32"/>
          <w:szCs w:val="32"/>
          <w14:textFill>
            <w14:solidFill>
              <w14:schemeClr w14:val="tx1"/>
            </w14:solidFill>
          </w14:textFill>
        </w:rPr>
        <w:t>%，我部门无此项预算；公务用车购置及运行维护费预算</w:t>
      </w:r>
      <w:r>
        <w:rPr>
          <w:rFonts w:ascii="Times New Roman" w:hAnsi="Times New Roman" w:cs="Times New Roman"/>
          <w:color w:val="000000" w:themeColor="text1"/>
          <w:sz w:val="32"/>
          <w:szCs w:val="32"/>
          <w14:textFill>
            <w14:solidFill>
              <w14:schemeClr w14:val="tx1"/>
            </w14:solidFill>
          </w14:textFill>
        </w:rPr>
        <w:t>624.6</w:t>
      </w:r>
      <w:r>
        <w:rPr>
          <w:rFonts w:hint="eastAsia"/>
          <w:color w:val="000000" w:themeColor="text1"/>
          <w:sz w:val="32"/>
          <w:szCs w:val="32"/>
          <w14:textFill>
            <w14:solidFill>
              <w14:schemeClr w14:val="tx1"/>
            </w14:solidFill>
          </w14:textFill>
        </w:rPr>
        <w:t>万元，支出决算</w:t>
      </w:r>
      <w:r>
        <w:rPr>
          <w:rFonts w:ascii="Times New Roman" w:hAnsi="Times New Roman" w:cs="Times New Roman"/>
          <w:color w:val="000000" w:themeColor="text1"/>
          <w:sz w:val="32"/>
          <w:szCs w:val="32"/>
          <w14:textFill>
            <w14:solidFill>
              <w14:schemeClr w14:val="tx1"/>
            </w14:solidFill>
          </w14:textFill>
        </w:rPr>
        <w:t>508.29</w:t>
      </w:r>
      <w:r>
        <w:rPr>
          <w:rFonts w:hint="eastAsia"/>
          <w:color w:val="000000" w:themeColor="text1"/>
          <w:sz w:val="32"/>
          <w:szCs w:val="32"/>
          <w14:textFill>
            <w14:solidFill>
              <w14:schemeClr w14:val="tx1"/>
            </w14:solidFill>
          </w14:textFill>
        </w:rPr>
        <w:t>万元，完成预算的</w:t>
      </w:r>
      <w:r>
        <w:rPr>
          <w:rFonts w:ascii="Times New Roman" w:hAnsi="Times New Roman" w:cs="Times New Roman"/>
          <w:color w:val="000000" w:themeColor="text1"/>
          <w:sz w:val="32"/>
          <w:szCs w:val="32"/>
          <w14:textFill>
            <w14:solidFill>
              <w14:schemeClr w14:val="tx1"/>
            </w14:solidFill>
          </w14:textFill>
        </w:rPr>
        <w:t>81.38</w:t>
      </w:r>
      <w:r>
        <w:rPr>
          <w:rFonts w:hint="eastAsia"/>
          <w:color w:val="000000" w:themeColor="text1"/>
          <w:sz w:val="32"/>
          <w:szCs w:val="32"/>
          <w14:textFill>
            <w14:solidFill>
              <w14:schemeClr w14:val="tx1"/>
            </w14:solidFill>
          </w14:textFill>
        </w:rPr>
        <w:t>%；公务接待费预算</w:t>
      </w:r>
      <w:r>
        <w:rPr>
          <w:rFonts w:ascii="Times New Roman" w:hAnsi="Times New Roman" w:cs="Times New Roman"/>
          <w:color w:val="000000" w:themeColor="text1"/>
          <w:sz w:val="32"/>
          <w:szCs w:val="32"/>
          <w14:textFill>
            <w14:solidFill>
              <w14:schemeClr w14:val="tx1"/>
            </w14:solidFill>
          </w14:textFill>
        </w:rPr>
        <w:t>19.56</w:t>
      </w:r>
      <w:r>
        <w:rPr>
          <w:rFonts w:hint="eastAsia"/>
          <w:color w:val="000000" w:themeColor="text1"/>
          <w:sz w:val="32"/>
          <w:szCs w:val="32"/>
          <w14:textFill>
            <w14:solidFill>
              <w14:schemeClr w14:val="tx1"/>
            </w14:solidFill>
          </w14:textFill>
        </w:rPr>
        <w:t>万元，支出决算</w:t>
      </w:r>
      <w:r>
        <w:rPr>
          <w:rFonts w:ascii="Times New Roman" w:hAnsi="Times New Roman" w:cs="Times New Roman"/>
          <w:color w:val="000000" w:themeColor="text1"/>
          <w:sz w:val="32"/>
          <w:szCs w:val="32"/>
          <w14:textFill>
            <w14:solidFill>
              <w14:schemeClr w14:val="tx1"/>
            </w14:solidFill>
          </w14:textFill>
        </w:rPr>
        <w:t>8.70</w:t>
      </w:r>
      <w:r>
        <w:rPr>
          <w:rFonts w:hint="eastAsia"/>
          <w:color w:val="000000" w:themeColor="text1"/>
          <w:sz w:val="32"/>
          <w:szCs w:val="32"/>
          <w14:textFill>
            <w14:solidFill>
              <w14:schemeClr w14:val="tx1"/>
            </w14:solidFill>
          </w14:textFill>
        </w:rPr>
        <w:t>万元，完成预算的</w:t>
      </w:r>
      <w:r>
        <w:rPr>
          <w:rFonts w:ascii="Times New Roman" w:hAnsi="Times New Roman" w:cs="Times New Roman"/>
          <w:color w:val="000000" w:themeColor="text1"/>
          <w:sz w:val="32"/>
          <w:szCs w:val="32"/>
          <w14:textFill>
            <w14:solidFill>
              <w14:schemeClr w14:val="tx1"/>
            </w14:solidFill>
          </w14:textFill>
        </w:rPr>
        <w:t>44.48</w:t>
      </w:r>
      <w:r>
        <w:rPr>
          <w:rFonts w:hint="eastAsia"/>
          <w:color w:val="000000" w:themeColor="text1"/>
          <w:sz w:val="32"/>
          <w:szCs w:val="32"/>
          <w14:textFill>
            <w14:solidFill>
              <w14:schemeClr w14:val="tx1"/>
            </w14:solidFill>
          </w14:textFill>
        </w:rPr>
        <w:t>%。2022年度财政拨款</w:t>
      </w:r>
      <w:r>
        <w:rPr>
          <w:rFonts w:ascii="Times New Roman" w:hAnsi="Times New Roman" w:cs="Times New Roman"/>
          <w:color w:val="000000" w:themeColor="text1"/>
          <w:sz w:val="32"/>
          <w:szCs w:val="32"/>
          <w14:textFill>
            <w14:solidFill>
              <w14:schemeClr w14:val="tx1"/>
            </w14:solidFill>
          </w14:textFill>
        </w:rPr>
        <w:t>“</w:t>
      </w:r>
      <w:r>
        <w:rPr>
          <w:rFonts w:hint="eastAsia"/>
          <w:color w:val="000000" w:themeColor="text1"/>
          <w:sz w:val="32"/>
          <w:szCs w:val="32"/>
          <w14:textFill>
            <w14:solidFill>
              <w14:schemeClr w14:val="tx1"/>
            </w14:solidFill>
          </w14:textFill>
        </w:rPr>
        <w:t>三公</w:t>
      </w:r>
      <w:r>
        <w:rPr>
          <w:rFonts w:ascii="Times New Roman" w:hAnsi="Times New Roman" w:cs="Times New Roman"/>
          <w:color w:val="000000" w:themeColor="text1"/>
          <w:sz w:val="32"/>
          <w:szCs w:val="32"/>
          <w14:textFill>
            <w14:solidFill>
              <w14:schemeClr w14:val="tx1"/>
            </w14:solidFill>
          </w14:textFill>
        </w:rPr>
        <w:t>”</w:t>
      </w:r>
      <w:r>
        <w:rPr>
          <w:rFonts w:hint="eastAsia"/>
          <w:color w:val="000000" w:themeColor="text1"/>
          <w:sz w:val="32"/>
          <w:szCs w:val="32"/>
          <w14:textFill>
            <w14:solidFill>
              <w14:schemeClr w14:val="tx1"/>
            </w14:solidFill>
          </w14:textFill>
        </w:rPr>
        <w:t>经费支出决算与预算差异原因：一是按照“八项规定”要求，厉行节约，严格执行“三公”经费各项制度，严格管理公务车辆，压缩各项经费支出；二是根据防疫要求，公务接待批次减少。</w:t>
      </w:r>
    </w:p>
    <w:p>
      <w:pPr>
        <w:keepNext/>
        <w:spacing w:before="100" w:beforeAutospacing="1" w:after="100" w:afterAutospacing="1" w:line="560" w:lineRule="atLeast"/>
        <w:ind w:firstLine="643" w:firstLineChars="200"/>
        <w:jc w:val="both"/>
      </w:pPr>
      <w:r>
        <w:rPr>
          <w:rFonts w:hint="eastAsia" w:ascii="楷体" w:hAnsi="楷体" w:eastAsia="楷体"/>
          <w:b/>
          <w:bCs/>
          <w:sz w:val="32"/>
          <w:szCs w:val="32"/>
        </w:rPr>
        <w:t>（二）财政拨款</w:t>
      </w:r>
      <w:r>
        <w:rPr>
          <w:rFonts w:ascii="Times New Roman" w:hAnsi="Times New Roman" w:cs="Times New Roman"/>
          <w:b/>
          <w:bCs/>
          <w:sz w:val="32"/>
          <w:szCs w:val="32"/>
        </w:rPr>
        <w:t>“</w:t>
      </w:r>
      <w:r>
        <w:rPr>
          <w:rFonts w:hint="eastAsia" w:ascii="楷体" w:hAnsi="楷体" w:eastAsia="楷体"/>
          <w:b/>
          <w:bCs/>
          <w:sz w:val="32"/>
          <w:szCs w:val="32"/>
        </w:rPr>
        <w:t>三公</w:t>
      </w:r>
      <w:r>
        <w:rPr>
          <w:rFonts w:ascii="Times New Roman" w:hAnsi="Times New Roman" w:cs="Times New Roman"/>
          <w:b/>
          <w:bCs/>
          <w:sz w:val="32"/>
          <w:szCs w:val="32"/>
        </w:rPr>
        <w:t>”</w:t>
      </w:r>
      <w:r>
        <w:rPr>
          <w:rFonts w:hint="eastAsia" w:ascii="楷体" w:hAnsi="楷体" w:eastAsia="楷体"/>
          <w:b/>
          <w:bCs/>
          <w:sz w:val="32"/>
          <w:szCs w:val="32"/>
        </w:rPr>
        <w:t>经费支出具体情况说明。</w:t>
      </w:r>
    </w:p>
    <w:p>
      <w:pPr>
        <w:keepNext/>
        <w:spacing w:before="100" w:beforeAutospacing="1" w:after="100" w:afterAutospacing="1" w:line="560" w:lineRule="atLeast"/>
        <w:ind w:firstLine="640" w:firstLineChars="200"/>
        <w:jc w:val="both"/>
      </w:pPr>
      <w:r>
        <w:rPr>
          <w:rFonts w:hint="eastAsia"/>
          <w:sz w:val="32"/>
          <w:szCs w:val="32"/>
        </w:rPr>
        <w:t>内蒙古自治区特种设备检验研究院部门2022年度财政拨款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经费支出</w:t>
      </w:r>
      <w:r>
        <w:rPr>
          <w:rFonts w:ascii="Times New Roman" w:hAnsi="Times New Roman" w:cs="Times New Roman"/>
          <w:sz w:val="32"/>
          <w:szCs w:val="32"/>
        </w:rPr>
        <w:t>516.99</w:t>
      </w:r>
      <w:r>
        <w:rPr>
          <w:rFonts w:hint="eastAsia"/>
          <w:sz w:val="32"/>
          <w:szCs w:val="32"/>
        </w:rPr>
        <w:t>万元。因公出国（境）费支出</w:t>
      </w:r>
      <w:r>
        <w:rPr>
          <w:rFonts w:ascii="Times New Roman" w:hAnsi="Times New Roman" w:cs="Times New Roman"/>
          <w:sz w:val="32"/>
          <w:szCs w:val="32"/>
        </w:rPr>
        <w:t>0.00</w:t>
      </w:r>
      <w:r>
        <w:rPr>
          <w:rFonts w:hint="eastAsia"/>
          <w:sz w:val="32"/>
          <w:szCs w:val="32"/>
        </w:rPr>
        <w:t>万元，占</w:t>
      </w:r>
      <w:r>
        <w:rPr>
          <w:rFonts w:ascii="Times New Roman" w:hAnsi="Times New Roman" w:cs="Times New Roman"/>
          <w:sz w:val="32"/>
          <w:szCs w:val="32"/>
        </w:rPr>
        <w:t>0.00</w:t>
      </w:r>
      <w:r>
        <w:rPr>
          <w:rFonts w:hint="eastAsia"/>
          <w:sz w:val="32"/>
          <w:szCs w:val="32"/>
        </w:rPr>
        <w:t>%；公务用车购置及运行维护费支出</w:t>
      </w:r>
      <w:r>
        <w:rPr>
          <w:rFonts w:ascii="Times New Roman" w:hAnsi="Times New Roman" w:cs="Times New Roman"/>
          <w:sz w:val="32"/>
          <w:szCs w:val="32"/>
        </w:rPr>
        <w:t>508.29</w:t>
      </w:r>
      <w:r>
        <w:rPr>
          <w:rFonts w:hint="eastAsia"/>
          <w:sz w:val="32"/>
          <w:szCs w:val="32"/>
        </w:rPr>
        <w:t>万元，占</w:t>
      </w:r>
      <w:r>
        <w:rPr>
          <w:rFonts w:ascii="Times New Roman" w:hAnsi="Times New Roman" w:cs="Times New Roman"/>
          <w:sz w:val="32"/>
          <w:szCs w:val="32"/>
        </w:rPr>
        <w:t>98.32</w:t>
      </w:r>
      <w:r>
        <w:rPr>
          <w:rFonts w:hint="eastAsia"/>
          <w:sz w:val="32"/>
          <w:szCs w:val="32"/>
        </w:rPr>
        <w:t>%；公务接待费支出</w:t>
      </w:r>
      <w:r>
        <w:rPr>
          <w:rFonts w:ascii="Times New Roman" w:hAnsi="Times New Roman" w:cs="Times New Roman"/>
          <w:sz w:val="32"/>
          <w:szCs w:val="32"/>
        </w:rPr>
        <w:t>8.70</w:t>
      </w:r>
      <w:r>
        <w:rPr>
          <w:rFonts w:hint="eastAsia"/>
          <w:sz w:val="32"/>
          <w:szCs w:val="32"/>
        </w:rPr>
        <w:t>万元，占</w:t>
      </w:r>
      <w:r>
        <w:rPr>
          <w:rFonts w:ascii="Times New Roman" w:hAnsi="Times New Roman" w:cs="Times New Roman"/>
          <w:sz w:val="32"/>
          <w:szCs w:val="32"/>
        </w:rPr>
        <w:t>1.68</w:t>
      </w:r>
      <w:r>
        <w:rPr>
          <w:rFonts w:hint="eastAsia"/>
          <w:sz w:val="32"/>
          <w:szCs w:val="32"/>
        </w:rPr>
        <w:t>%。其中：</w:t>
      </w:r>
    </w:p>
    <w:p>
      <w:pPr>
        <w:spacing w:before="100" w:beforeAutospacing="1" w:after="100" w:afterAutospacing="1" w:line="560" w:lineRule="atLeast"/>
        <w:ind w:firstLine="640" w:firstLineChars="200"/>
        <w:jc w:val="both"/>
      </w:pPr>
      <w:r>
        <w:rPr>
          <w:rFonts w:ascii="Times New Roman" w:hAnsi="Times New Roman" w:cs="Times New Roman"/>
          <w:sz w:val="32"/>
          <w:szCs w:val="32"/>
        </w:rPr>
        <w:t>1.</w:t>
      </w:r>
      <w:r>
        <w:rPr>
          <w:rFonts w:hint="eastAsia"/>
          <w:sz w:val="32"/>
          <w:szCs w:val="32"/>
        </w:rPr>
        <w:t>因公出国（境）费支出</w:t>
      </w:r>
      <w:r>
        <w:rPr>
          <w:rFonts w:ascii="Times New Roman" w:hAnsi="Times New Roman" w:cs="Times New Roman"/>
          <w:sz w:val="32"/>
          <w:szCs w:val="32"/>
        </w:rPr>
        <w:t>0.00</w:t>
      </w:r>
      <w:r>
        <w:rPr>
          <w:rFonts w:hint="eastAsia"/>
          <w:sz w:val="32"/>
          <w:szCs w:val="32"/>
        </w:rPr>
        <w:t>万元，我部门无此项预算及支出。</w:t>
      </w:r>
    </w:p>
    <w:p>
      <w:pPr>
        <w:spacing w:before="100" w:beforeAutospacing="1" w:after="100" w:afterAutospacing="1" w:line="560" w:lineRule="atLeast"/>
        <w:ind w:firstLine="640" w:firstLineChars="200"/>
        <w:jc w:val="both"/>
      </w:pPr>
      <w:r>
        <w:rPr>
          <w:rFonts w:ascii="Times New Roman" w:hAnsi="Times New Roman" w:cs="Times New Roman"/>
          <w:sz w:val="32"/>
          <w:szCs w:val="32"/>
        </w:rPr>
        <w:t>2.</w:t>
      </w:r>
      <w:r>
        <w:rPr>
          <w:rFonts w:hint="eastAsia"/>
          <w:sz w:val="32"/>
          <w:szCs w:val="32"/>
        </w:rPr>
        <w:t>公务用车购置及运行维护费支出</w:t>
      </w:r>
      <w:r>
        <w:rPr>
          <w:rFonts w:ascii="Times New Roman" w:hAnsi="Times New Roman" w:cs="Times New Roman"/>
          <w:sz w:val="32"/>
          <w:szCs w:val="32"/>
        </w:rPr>
        <w:t>508.29</w:t>
      </w:r>
      <w:r>
        <w:rPr>
          <w:rFonts w:hint="eastAsia"/>
          <w:sz w:val="32"/>
          <w:szCs w:val="32"/>
        </w:rPr>
        <w:t>万元。其中：</w:t>
      </w:r>
    </w:p>
    <w:p>
      <w:pPr>
        <w:spacing w:before="100" w:beforeAutospacing="1" w:after="100" w:afterAutospacing="1" w:line="560" w:lineRule="atLeast"/>
        <w:ind w:firstLine="640" w:firstLineChars="200"/>
        <w:jc w:val="both"/>
      </w:pPr>
      <w:r>
        <w:rPr>
          <w:rFonts w:hint="eastAsia"/>
          <w:sz w:val="32"/>
          <w:szCs w:val="32"/>
        </w:rPr>
        <w:t>（</w:t>
      </w:r>
      <w:r>
        <w:rPr>
          <w:rFonts w:ascii="Times New Roman" w:hAnsi="Times New Roman" w:cs="Times New Roman"/>
          <w:sz w:val="32"/>
          <w:szCs w:val="32"/>
        </w:rPr>
        <w:t>1</w:t>
      </w:r>
      <w:r>
        <w:rPr>
          <w:rFonts w:hint="eastAsia"/>
          <w:sz w:val="32"/>
          <w:szCs w:val="32"/>
        </w:rPr>
        <w:t>）公务用车购置支出</w:t>
      </w:r>
      <w:r>
        <w:rPr>
          <w:rFonts w:ascii="Times New Roman" w:hAnsi="Times New Roman" w:cs="Times New Roman"/>
          <w:sz w:val="32"/>
          <w:szCs w:val="32"/>
        </w:rPr>
        <w:t>52.44</w:t>
      </w:r>
      <w:r>
        <w:rPr>
          <w:rFonts w:hint="eastAsia"/>
          <w:sz w:val="32"/>
          <w:szCs w:val="32"/>
        </w:rPr>
        <w:t>万元。本年度使用财政拨款购置公务用车</w:t>
      </w:r>
      <w:r>
        <w:rPr>
          <w:rFonts w:ascii="Times New Roman" w:hAnsi="Times New Roman" w:cs="Times New Roman"/>
          <w:sz w:val="32"/>
          <w:szCs w:val="32"/>
        </w:rPr>
        <w:t>3</w:t>
      </w:r>
      <w:r>
        <w:rPr>
          <w:rFonts w:hint="eastAsia"/>
          <w:sz w:val="32"/>
          <w:szCs w:val="32"/>
        </w:rPr>
        <w:t>辆，开支内容：购置公务用车。与上年决算相比，减少</w:t>
      </w:r>
      <w:r>
        <w:rPr>
          <w:rFonts w:ascii="Times New Roman" w:hAnsi="Times New Roman" w:cs="Times New Roman"/>
          <w:sz w:val="32"/>
          <w:szCs w:val="32"/>
        </w:rPr>
        <w:t>77.02</w:t>
      </w:r>
      <w:r>
        <w:rPr>
          <w:rFonts w:hint="eastAsia"/>
          <w:sz w:val="32"/>
          <w:szCs w:val="32"/>
        </w:rPr>
        <w:t>万元，减少</w:t>
      </w:r>
      <w:r>
        <w:rPr>
          <w:rFonts w:ascii="Times New Roman" w:hAnsi="Times New Roman" w:cs="Times New Roman"/>
          <w:sz w:val="32"/>
          <w:szCs w:val="32"/>
        </w:rPr>
        <w:t>59.49</w:t>
      </w:r>
      <w:r>
        <w:rPr>
          <w:rFonts w:hint="eastAsia"/>
          <w:sz w:val="32"/>
          <w:szCs w:val="32"/>
        </w:rPr>
        <w:t>%，变动原因：依据公车办批复，我部门本年度购置3辆公务用车。</w:t>
      </w:r>
    </w:p>
    <w:p>
      <w:pPr>
        <w:spacing w:before="100" w:beforeAutospacing="1" w:after="100" w:afterAutospacing="1" w:line="560" w:lineRule="atLeast"/>
        <w:ind w:firstLine="640" w:firstLineChars="200"/>
        <w:jc w:val="both"/>
      </w:pPr>
      <w:r>
        <w:rPr>
          <w:rFonts w:hint="eastAsia"/>
          <w:sz w:val="32"/>
          <w:szCs w:val="32"/>
        </w:rPr>
        <w:t>（</w:t>
      </w:r>
      <w:r>
        <w:rPr>
          <w:rFonts w:ascii="Times New Roman" w:hAnsi="Times New Roman" w:cs="Times New Roman"/>
          <w:sz w:val="32"/>
          <w:szCs w:val="32"/>
        </w:rPr>
        <w:t>2</w:t>
      </w:r>
      <w:r>
        <w:rPr>
          <w:rFonts w:hint="eastAsia"/>
          <w:sz w:val="32"/>
          <w:szCs w:val="32"/>
        </w:rPr>
        <w:t>）公务用车运行维护费支出</w:t>
      </w:r>
      <w:r>
        <w:rPr>
          <w:rFonts w:ascii="Times New Roman" w:hAnsi="Times New Roman" w:cs="Times New Roman"/>
          <w:sz w:val="32"/>
          <w:szCs w:val="32"/>
        </w:rPr>
        <w:t>455.85</w:t>
      </w:r>
      <w:r>
        <w:rPr>
          <w:rFonts w:hint="eastAsia"/>
          <w:sz w:val="32"/>
          <w:szCs w:val="32"/>
        </w:rPr>
        <w:t>万元。公务用车运行维护费主要用于按规定保留的公务用车的燃料费、维修费、过桥过路费、保险费、安全奖励费用等支出。截至</w:t>
      </w:r>
      <w:r>
        <w:rPr>
          <w:rFonts w:ascii="Times New Roman" w:hAnsi="Times New Roman" w:cs="Times New Roman"/>
          <w:sz w:val="32"/>
          <w:szCs w:val="32"/>
        </w:rPr>
        <w:t>2022</w:t>
      </w:r>
      <w:r>
        <w:rPr>
          <w:rFonts w:hint="eastAsia"/>
          <w:sz w:val="32"/>
          <w:szCs w:val="32"/>
        </w:rPr>
        <w:t>年</w:t>
      </w:r>
      <w:r>
        <w:rPr>
          <w:rFonts w:ascii="Times New Roman" w:hAnsi="Times New Roman" w:cs="Times New Roman"/>
          <w:sz w:val="32"/>
          <w:szCs w:val="32"/>
        </w:rPr>
        <w:t>12</w:t>
      </w:r>
      <w:r>
        <w:rPr>
          <w:rFonts w:hint="eastAsia"/>
          <w:sz w:val="32"/>
          <w:szCs w:val="32"/>
        </w:rPr>
        <w:t>月</w:t>
      </w:r>
      <w:r>
        <w:rPr>
          <w:rFonts w:ascii="Times New Roman" w:hAnsi="Times New Roman" w:cs="Times New Roman"/>
          <w:sz w:val="32"/>
          <w:szCs w:val="32"/>
        </w:rPr>
        <w:t>31</w:t>
      </w:r>
      <w:r>
        <w:rPr>
          <w:rFonts w:hint="eastAsia"/>
          <w:sz w:val="32"/>
          <w:szCs w:val="32"/>
        </w:rPr>
        <w:t>日，使用财政拨款开支的公务用车保有量为</w:t>
      </w:r>
      <w:r>
        <w:rPr>
          <w:rFonts w:ascii="Times New Roman" w:hAnsi="Times New Roman" w:cs="Times New Roman"/>
          <w:sz w:val="32"/>
          <w:szCs w:val="32"/>
        </w:rPr>
        <w:t>235</w:t>
      </w:r>
      <w:r>
        <w:rPr>
          <w:rFonts w:hint="eastAsia"/>
          <w:sz w:val="32"/>
          <w:szCs w:val="32"/>
        </w:rPr>
        <w:t>辆。与上年决算相比，增加</w:t>
      </w:r>
      <w:r>
        <w:rPr>
          <w:rFonts w:ascii="Times New Roman" w:hAnsi="Times New Roman" w:cs="Times New Roman"/>
          <w:sz w:val="32"/>
          <w:szCs w:val="32"/>
        </w:rPr>
        <w:t>12.31</w:t>
      </w:r>
      <w:r>
        <w:rPr>
          <w:rFonts w:hint="eastAsia"/>
          <w:sz w:val="32"/>
          <w:szCs w:val="32"/>
        </w:rPr>
        <w:t>万元，增长</w:t>
      </w:r>
      <w:r>
        <w:rPr>
          <w:rFonts w:ascii="Times New Roman" w:hAnsi="Times New Roman" w:cs="Times New Roman"/>
          <w:sz w:val="30"/>
          <w:szCs w:val="30"/>
        </w:rPr>
        <w:t>2.77</w:t>
      </w:r>
      <w:r>
        <w:rPr>
          <w:rFonts w:hint="eastAsia"/>
          <w:sz w:val="32"/>
          <w:szCs w:val="32"/>
        </w:rPr>
        <w:t>%，变动原因：我院因业务需要，经公车办批复，2022年度新增3辆公务用车，增加费用属于合理增长。</w:t>
      </w:r>
    </w:p>
    <w:p>
      <w:pPr>
        <w:spacing w:before="100" w:beforeAutospacing="1" w:after="100" w:afterAutospacing="1" w:line="560" w:lineRule="atLeast"/>
        <w:ind w:firstLine="640" w:firstLineChars="200"/>
        <w:jc w:val="both"/>
      </w:pPr>
      <w:r>
        <w:rPr>
          <w:rFonts w:ascii="Times New Roman" w:hAnsi="Times New Roman" w:cs="Times New Roman"/>
          <w:sz w:val="32"/>
          <w:szCs w:val="32"/>
        </w:rPr>
        <w:t>3.</w:t>
      </w:r>
      <w:r>
        <w:rPr>
          <w:rFonts w:hint="eastAsia"/>
          <w:sz w:val="32"/>
          <w:szCs w:val="32"/>
        </w:rPr>
        <w:t>公务接待费支出</w:t>
      </w:r>
      <w:r>
        <w:rPr>
          <w:rFonts w:ascii="Times New Roman" w:hAnsi="Times New Roman" w:cs="Times New Roman"/>
          <w:sz w:val="32"/>
          <w:szCs w:val="32"/>
        </w:rPr>
        <w:t>8.70</w:t>
      </w:r>
      <w:r>
        <w:rPr>
          <w:rFonts w:hint="eastAsia"/>
          <w:sz w:val="32"/>
          <w:szCs w:val="32"/>
        </w:rPr>
        <w:t>万元。其中：国内公务接待支出</w:t>
      </w:r>
      <w:r>
        <w:rPr>
          <w:rFonts w:ascii="Times New Roman" w:hAnsi="Times New Roman" w:cs="Times New Roman"/>
          <w:sz w:val="32"/>
          <w:szCs w:val="32"/>
        </w:rPr>
        <w:t>8.70</w:t>
      </w:r>
      <w:r>
        <w:rPr>
          <w:rFonts w:hint="eastAsia"/>
          <w:sz w:val="32"/>
          <w:szCs w:val="32"/>
        </w:rPr>
        <w:t>万元，接待</w:t>
      </w:r>
      <w:r>
        <w:rPr>
          <w:rFonts w:ascii="Times New Roman" w:hAnsi="Times New Roman" w:cs="Times New Roman"/>
          <w:sz w:val="32"/>
          <w:szCs w:val="32"/>
        </w:rPr>
        <w:t>142</w:t>
      </w:r>
      <w:r>
        <w:rPr>
          <w:rFonts w:hint="eastAsia"/>
          <w:sz w:val="32"/>
          <w:szCs w:val="32"/>
        </w:rPr>
        <w:t>批次，</w:t>
      </w:r>
      <w:r>
        <w:rPr>
          <w:rFonts w:ascii="Times New Roman" w:hAnsi="Times New Roman" w:cs="Times New Roman"/>
          <w:sz w:val="32"/>
          <w:szCs w:val="32"/>
        </w:rPr>
        <w:t>643</w:t>
      </w:r>
      <w:r>
        <w:rPr>
          <w:rFonts w:hint="eastAsia"/>
          <w:sz w:val="32"/>
          <w:szCs w:val="32"/>
        </w:rPr>
        <w:t>人次，开支内容：分院及其他省市特检机构因公来呼发生的餐费；国（境）外公务接待支出</w:t>
      </w:r>
      <w:r>
        <w:rPr>
          <w:rFonts w:ascii="Times New Roman" w:hAnsi="Times New Roman" w:cs="Times New Roman"/>
          <w:sz w:val="32"/>
          <w:szCs w:val="32"/>
        </w:rPr>
        <w:t>0.00</w:t>
      </w:r>
      <w:r>
        <w:rPr>
          <w:rFonts w:hint="eastAsia"/>
          <w:sz w:val="32"/>
          <w:szCs w:val="32"/>
        </w:rPr>
        <w:t>万元，接待</w:t>
      </w:r>
      <w:r>
        <w:rPr>
          <w:rFonts w:ascii="Times New Roman" w:hAnsi="Times New Roman" w:cs="Times New Roman"/>
          <w:sz w:val="32"/>
          <w:szCs w:val="32"/>
        </w:rPr>
        <w:t>0</w:t>
      </w:r>
      <w:r>
        <w:rPr>
          <w:rFonts w:hint="eastAsia"/>
          <w:sz w:val="32"/>
          <w:szCs w:val="32"/>
        </w:rPr>
        <w:t>批次，</w:t>
      </w:r>
      <w:r>
        <w:rPr>
          <w:rFonts w:ascii="Times New Roman" w:hAnsi="Times New Roman" w:cs="Times New Roman"/>
          <w:sz w:val="32"/>
          <w:szCs w:val="32"/>
        </w:rPr>
        <w:t>0</w:t>
      </w:r>
      <w:r>
        <w:rPr>
          <w:rFonts w:hint="eastAsia"/>
          <w:sz w:val="32"/>
          <w:szCs w:val="32"/>
        </w:rPr>
        <w:t>人次，我部门无此项支出。与上年决算相比，减少</w:t>
      </w:r>
      <w:r>
        <w:rPr>
          <w:rFonts w:ascii="Times New Roman" w:hAnsi="Times New Roman" w:cs="Times New Roman"/>
          <w:sz w:val="32"/>
          <w:szCs w:val="32"/>
        </w:rPr>
        <w:t>1.64</w:t>
      </w:r>
      <w:r>
        <w:rPr>
          <w:rFonts w:hint="eastAsia"/>
          <w:sz w:val="32"/>
          <w:szCs w:val="32"/>
        </w:rPr>
        <w:t>万元，减少</w:t>
      </w:r>
      <w:r>
        <w:rPr>
          <w:rFonts w:ascii="Times New Roman" w:hAnsi="Times New Roman" w:cs="Times New Roman"/>
          <w:sz w:val="32"/>
          <w:szCs w:val="32"/>
        </w:rPr>
        <w:t>15.88</w:t>
      </w:r>
      <w:r>
        <w:rPr>
          <w:rFonts w:hint="eastAsia"/>
          <w:sz w:val="32"/>
          <w:szCs w:val="32"/>
        </w:rPr>
        <w:t>%，变动原因：受新冠疫情影响，我部门接待批次及人数较上年减少。</w:t>
      </w:r>
    </w:p>
    <w:p>
      <w:pPr>
        <w:spacing w:before="100" w:beforeAutospacing="1" w:after="100" w:afterAutospacing="1" w:line="600" w:lineRule="atLeast"/>
        <w:ind w:firstLine="643" w:firstLineChars="200"/>
        <w:jc w:val="both"/>
      </w:pPr>
      <w:r>
        <w:rPr>
          <w:rFonts w:hint="eastAsia" w:ascii="黑体" w:hAnsi="黑体" w:eastAsia="黑体"/>
          <w:b/>
          <w:bCs/>
          <w:color w:val="000000"/>
          <w:sz w:val="32"/>
          <w:szCs w:val="32"/>
        </w:rPr>
        <w:t>九、</w:t>
      </w:r>
      <w:r>
        <w:rPr>
          <w:rFonts w:hint="eastAsia" w:ascii="黑体" w:hAnsi="黑体" w:eastAsia="黑体"/>
          <w:b/>
          <w:bCs/>
          <w:sz w:val="32"/>
          <w:szCs w:val="32"/>
        </w:rPr>
        <w:t>政府性基金预算财政拨款支出决算情况说明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内蒙古自治区特种设备检验研究院部门2022年度政府性基金支出决算</w:t>
      </w:r>
      <w:r>
        <w:rPr>
          <w:rFonts w:ascii="Times New Roman" w:hAnsi="Times New Roman" w:cs="Times New Roman"/>
          <w:sz w:val="32"/>
          <w:szCs w:val="32"/>
        </w:rPr>
        <w:t>0.00</w:t>
      </w:r>
      <w:r>
        <w:rPr>
          <w:rFonts w:hint="eastAsia"/>
          <w:sz w:val="32"/>
          <w:szCs w:val="32"/>
        </w:rPr>
        <w:t>万元。与上年决算相比无增减变动。</w:t>
      </w:r>
    </w:p>
    <w:p>
      <w:pPr>
        <w:spacing w:before="100" w:beforeAutospacing="1" w:after="100" w:afterAutospacing="1" w:line="600" w:lineRule="atLeast"/>
        <w:ind w:firstLine="643" w:firstLineChars="200"/>
        <w:jc w:val="both"/>
      </w:pPr>
      <w:r>
        <w:rPr>
          <w:rFonts w:hint="eastAsia" w:ascii="黑体" w:hAnsi="黑体" w:eastAsia="黑体"/>
          <w:b/>
          <w:bCs/>
          <w:color w:val="000000"/>
          <w:sz w:val="32"/>
          <w:szCs w:val="32"/>
        </w:rPr>
        <w:t>十、</w:t>
      </w:r>
      <w:r>
        <w:rPr>
          <w:rFonts w:hint="eastAsia" w:ascii="黑体" w:hAnsi="黑体" w:eastAsia="黑体"/>
          <w:b/>
          <w:bCs/>
          <w:sz w:val="32"/>
          <w:szCs w:val="32"/>
        </w:rPr>
        <w:t>国有资本经营预算财政拨款支出决算情况说明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内蒙古自治区特种设备检验研究院部门2022年度国有资本经营预算支出决算</w:t>
      </w:r>
      <w:r>
        <w:rPr>
          <w:rFonts w:ascii="Times New Roman" w:hAnsi="Times New Roman" w:cs="Times New Roman"/>
          <w:sz w:val="32"/>
          <w:szCs w:val="32"/>
        </w:rPr>
        <w:t>0.00</w:t>
      </w:r>
      <w:r>
        <w:rPr>
          <w:rFonts w:hint="eastAsia"/>
          <w:sz w:val="32"/>
          <w:szCs w:val="32"/>
        </w:rPr>
        <w:t>万元。与上年决算相比无增减变动。</w:t>
      </w:r>
    </w:p>
    <w:p>
      <w:pPr>
        <w:keepNext/>
        <w:spacing w:before="100" w:beforeAutospacing="1" w:after="100" w:afterAutospacing="1" w:line="600" w:lineRule="atLeast"/>
        <w:ind w:firstLine="643" w:firstLineChars="200"/>
        <w:jc w:val="both"/>
      </w:pPr>
      <w:r>
        <w:rPr>
          <w:rFonts w:hint="eastAsia" w:ascii="黑体" w:hAnsi="黑体" w:eastAsia="黑体"/>
          <w:b/>
          <w:bCs/>
          <w:color w:val="000000"/>
          <w:sz w:val="32"/>
          <w:szCs w:val="32"/>
        </w:rPr>
        <w:t>十一、</w:t>
      </w:r>
      <w:r>
        <w:rPr>
          <w:rFonts w:hint="eastAsia" w:ascii="黑体" w:hAnsi="黑体" w:eastAsia="黑体"/>
          <w:b/>
          <w:bCs/>
          <w:sz w:val="32"/>
          <w:szCs w:val="32"/>
        </w:rPr>
        <w:t>项目支出决算情况说明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内蒙古自治区特种设备检验研究院部门2022年度预算安排项目</w:t>
      </w:r>
      <w:r>
        <w:rPr>
          <w:rFonts w:ascii="Times New Roman" w:hAnsi="Times New Roman" w:cs="Times New Roman"/>
          <w:sz w:val="32"/>
          <w:szCs w:val="32"/>
        </w:rPr>
        <w:t>36</w:t>
      </w:r>
      <w:r>
        <w:rPr>
          <w:rFonts w:hint="eastAsia"/>
          <w:sz w:val="32"/>
          <w:szCs w:val="32"/>
        </w:rPr>
        <w:t>个，实施项目</w:t>
      </w:r>
      <w:r>
        <w:rPr>
          <w:rFonts w:ascii="Times New Roman" w:hAnsi="Times New Roman" w:cs="Times New Roman"/>
          <w:sz w:val="32"/>
          <w:szCs w:val="32"/>
        </w:rPr>
        <w:t>40</w:t>
      </w:r>
      <w:r>
        <w:rPr>
          <w:rFonts w:hint="eastAsia"/>
          <w:sz w:val="32"/>
          <w:szCs w:val="32"/>
        </w:rPr>
        <w:t>个，完成项目</w:t>
      </w:r>
      <w:r>
        <w:rPr>
          <w:rFonts w:ascii="Times New Roman" w:hAnsi="Times New Roman" w:cs="Times New Roman"/>
          <w:sz w:val="32"/>
          <w:szCs w:val="32"/>
        </w:rPr>
        <w:t>40</w:t>
      </w:r>
      <w:r>
        <w:rPr>
          <w:rFonts w:hint="eastAsia"/>
          <w:sz w:val="32"/>
          <w:szCs w:val="32"/>
        </w:rPr>
        <w:t>个，本年度新增“</w:t>
      </w:r>
      <w:r>
        <w:rPr>
          <w:rFonts w:hint="eastAsia"/>
          <w:color w:val="000000" w:themeColor="text1"/>
          <w:sz w:val="32"/>
          <w:szCs w:val="32"/>
          <w14:textFill>
            <w14:solidFill>
              <w14:schemeClr w14:val="tx1"/>
            </w14:solidFill>
          </w14:textFill>
        </w:rPr>
        <w:t>基于动力学分析的高速电梯安全运行检测与孪生可视化技术研究项目</w:t>
      </w:r>
      <w:r>
        <w:rPr>
          <w:rFonts w:hint="eastAsia"/>
          <w:sz w:val="32"/>
          <w:szCs w:val="32"/>
        </w:rPr>
        <w:t>”（决算公开表中名称为其他应用研究支出-发改委）等项目，项目支出总金额</w:t>
      </w:r>
      <w:r>
        <w:rPr>
          <w:rFonts w:ascii="Times New Roman" w:hAnsi="Times New Roman" w:cs="Times New Roman"/>
          <w:sz w:val="32"/>
          <w:szCs w:val="32"/>
        </w:rPr>
        <w:t>29,654.84</w:t>
      </w:r>
      <w:r>
        <w:rPr>
          <w:rFonts w:hint="eastAsia"/>
          <w:sz w:val="32"/>
          <w:szCs w:val="32"/>
        </w:rPr>
        <w:t>万元。资金来源包括年初结转结余</w:t>
      </w:r>
      <w:r>
        <w:rPr>
          <w:rFonts w:ascii="Times New Roman" w:hAnsi="Times New Roman" w:cs="Times New Roman"/>
          <w:sz w:val="32"/>
          <w:szCs w:val="32"/>
        </w:rPr>
        <w:t>1,015.17</w:t>
      </w:r>
      <w:r>
        <w:rPr>
          <w:rFonts w:hint="eastAsia"/>
          <w:sz w:val="32"/>
          <w:szCs w:val="32"/>
        </w:rPr>
        <w:t>万元，本年财政拨款金额</w:t>
      </w:r>
      <w:r>
        <w:rPr>
          <w:rFonts w:ascii="Times New Roman" w:hAnsi="Times New Roman" w:cs="Times New Roman"/>
          <w:sz w:val="32"/>
          <w:szCs w:val="32"/>
        </w:rPr>
        <w:t>29,888.89</w:t>
      </w:r>
      <w:r>
        <w:rPr>
          <w:rFonts w:hint="eastAsia"/>
          <w:sz w:val="32"/>
          <w:szCs w:val="32"/>
        </w:rPr>
        <w:t>万元，本年其他资金</w:t>
      </w:r>
      <w:r>
        <w:rPr>
          <w:rFonts w:ascii="Times New Roman" w:hAnsi="Times New Roman" w:cs="Times New Roman"/>
          <w:sz w:val="32"/>
          <w:szCs w:val="32"/>
        </w:rPr>
        <w:t>90.00</w:t>
      </w:r>
      <w:r>
        <w:rPr>
          <w:rFonts w:hint="eastAsia"/>
          <w:sz w:val="32"/>
          <w:szCs w:val="32"/>
        </w:rPr>
        <w:t>万元。</w:t>
      </w:r>
    </w:p>
    <w:p>
      <w:pPr>
        <w:spacing w:before="100" w:beforeAutospacing="1" w:after="100" w:afterAutospacing="1" w:line="600" w:lineRule="atLeast"/>
        <w:ind w:firstLine="643" w:firstLineChars="200"/>
        <w:jc w:val="both"/>
      </w:pPr>
      <w:r>
        <w:rPr>
          <w:rFonts w:hint="eastAsia" w:ascii="黑体" w:hAnsi="黑体" w:eastAsia="黑体"/>
          <w:b/>
          <w:bCs/>
          <w:color w:val="000000"/>
          <w:sz w:val="32"/>
          <w:szCs w:val="32"/>
        </w:rPr>
        <w:t>十二、</w:t>
      </w:r>
      <w:r>
        <w:rPr>
          <w:rFonts w:hint="eastAsia" w:ascii="黑体" w:hAnsi="黑体" w:eastAsia="黑体"/>
          <w:b/>
          <w:bCs/>
          <w:sz w:val="32"/>
          <w:szCs w:val="32"/>
        </w:rPr>
        <w:t>机构运行经费支出决算情况说明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内蒙古自治区特种设备检验研究院部门2022年度机构运行经费支出决算</w:t>
      </w:r>
      <w:r>
        <w:rPr>
          <w:rFonts w:ascii="Times New Roman" w:hAnsi="Times New Roman" w:cs="Times New Roman"/>
          <w:sz w:val="32"/>
          <w:szCs w:val="32"/>
        </w:rPr>
        <w:t>7.43</w:t>
      </w:r>
      <w:r>
        <w:rPr>
          <w:rFonts w:hint="eastAsia"/>
          <w:sz w:val="32"/>
          <w:szCs w:val="32"/>
        </w:rPr>
        <w:t>万元。比上年决算相比，减少</w:t>
      </w:r>
      <w:r>
        <w:rPr>
          <w:rFonts w:ascii="Times New Roman" w:hAnsi="Times New Roman" w:cs="Times New Roman"/>
          <w:sz w:val="32"/>
          <w:szCs w:val="32"/>
        </w:rPr>
        <w:t>392.89</w:t>
      </w:r>
      <w:r>
        <w:rPr>
          <w:rFonts w:hint="eastAsia"/>
          <w:sz w:val="32"/>
          <w:szCs w:val="32"/>
        </w:rPr>
        <w:t>万元，减少</w:t>
      </w:r>
      <w:r>
        <w:rPr>
          <w:rFonts w:ascii="Times New Roman" w:hAnsi="Times New Roman" w:cs="Times New Roman"/>
          <w:sz w:val="32"/>
          <w:szCs w:val="32"/>
        </w:rPr>
        <w:t>98.15</w:t>
      </w:r>
      <w:r>
        <w:rPr>
          <w:rFonts w:hint="eastAsia"/>
          <w:sz w:val="32"/>
          <w:szCs w:val="32"/>
        </w:rPr>
        <w:t>%，变动原因：全院落实“过紧日子”的思想，减少不必要支出。</w:t>
      </w:r>
    </w:p>
    <w:p>
      <w:pPr>
        <w:spacing w:before="100" w:beforeAutospacing="1" w:after="100" w:afterAutospacing="1" w:line="600" w:lineRule="atLeast"/>
        <w:ind w:firstLine="643" w:firstLineChars="200"/>
        <w:jc w:val="both"/>
      </w:pPr>
      <w:r>
        <w:rPr>
          <w:rFonts w:hint="eastAsia" w:ascii="黑体" w:hAnsi="黑体" w:eastAsia="黑体"/>
          <w:b/>
          <w:bCs/>
          <w:color w:val="000000"/>
          <w:sz w:val="32"/>
          <w:szCs w:val="32"/>
        </w:rPr>
        <w:t>十三、</w:t>
      </w:r>
      <w:r>
        <w:rPr>
          <w:rFonts w:hint="eastAsia" w:ascii="黑体" w:hAnsi="黑体" w:eastAsia="黑体"/>
          <w:b/>
          <w:bCs/>
          <w:sz w:val="32"/>
          <w:szCs w:val="32"/>
        </w:rPr>
        <w:t>政府采购支出决算情况说明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内蒙古自治区特种设备检验研究院部门2022年度政府采购支出总额</w:t>
      </w:r>
      <w:r>
        <w:rPr>
          <w:rFonts w:ascii="Times New Roman" w:hAnsi="Times New Roman" w:cs="Times New Roman"/>
          <w:sz w:val="32"/>
          <w:szCs w:val="32"/>
        </w:rPr>
        <w:t>3,480.69</w:t>
      </w:r>
      <w:r>
        <w:rPr>
          <w:rFonts w:hint="eastAsia"/>
          <w:sz w:val="32"/>
          <w:szCs w:val="32"/>
        </w:rPr>
        <w:t>万元，其中：政府采购货物支出</w:t>
      </w:r>
      <w:r>
        <w:rPr>
          <w:rFonts w:ascii="Times New Roman" w:hAnsi="Times New Roman" w:cs="Times New Roman"/>
          <w:sz w:val="32"/>
          <w:szCs w:val="32"/>
        </w:rPr>
        <w:t>1,709.51</w:t>
      </w:r>
      <w:r>
        <w:rPr>
          <w:rFonts w:hint="eastAsia"/>
          <w:sz w:val="32"/>
          <w:szCs w:val="32"/>
        </w:rPr>
        <w:t>万元、政府采购工程支出</w:t>
      </w:r>
      <w:r>
        <w:rPr>
          <w:rFonts w:ascii="Times New Roman" w:hAnsi="Times New Roman" w:cs="Times New Roman"/>
          <w:sz w:val="32"/>
          <w:szCs w:val="32"/>
        </w:rPr>
        <w:t>141.85</w:t>
      </w:r>
      <w:r>
        <w:rPr>
          <w:rFonts w:hint="eastAsia"/>
          <w:sz w:val="32"/>
          <w:szCs w:val="32"/>
        </w:rPr>
        <w:t>万元、政府采购服务支出</w:t>
      </w:r>
      <w:r>
        <w:rPr>
          <w:rFonts w:ascii="Times New Roman" w:hAnsi="Times New Roman" w:cs="Times New Roman"/>
          <w:sz w:val="32"/>
          <w:szCs w:val="32"/>
        </w:rPr>
        <w:t>1,629.34</w:t>
      </w:r>
      <w:r>
        <w:rPr>
          <w:rFonts w:hint="eastAsia"/>
          <w:sz w:val="32"/>
          <w:szCs w:val="32"/>
        </w:rPr>
        <w:t>万元。授予中小企业合同金额</w:t>
      </w:r>
      <w:r>
        <w:rPr>
          <w:rFonts w:ascii="Times New Roman" w:hAnsi="Times New Roman" w:cs="Times New Roman"/>
          <w:sz w:val="32"/>
          <w:szCs w:val="32"/>
        </w:rPr>
        <w:t>1,141.99</w:t>
      </w:r>
      <w:r>
        <w:rPr>
          <w:rFonts w:hint="eastAsia"/>
          <w:sz w:val="32"/>
          <w:szCs w:val="32"/>
        </w:rPr>
        <w:t>万元，占政府采购支出总额的</w:t>
      </w:r>
      <w:r>
        <w:rPr>
          <w:rFonts w:ascii="Times New Roman" w:hAnsi="Times New Roman" w:cs="Times New Roman"/>
          <w:sz w:val="32"/>
          <w:szCs w:val="32"/>
        </w:rPr>
        <w:t>32.81</w:t>
      </w:r>
      <w:r>
        <w:rPr>
          <w:rFonts w:hint="eastAsia"/>
          <w:sz w:val="32"/>
          <w:szCs w:val="32"/>
        </w:rPr>
        <w:t>%，其中：授予小微企业合同金额</w:t>
      </w:r>
      <w:r>
        <w:rPr>
          <w:rFonts w:ascii="Times New Roman" w:hAnsi="Times New Roman" w:cs="Times New Roman"/>
          <w:sz w:val="32"/>
          <w:szCs w:val="32"/>
        </w:rPr>
        <w:t>799.08</w:t>
      </w:r>
      <w:r>
        <w:rPr>
          <w:rFonts w:hint="eastAsia"/>
          <w:sz w:val="32"/>
          <w:szCs w:val="32"/>
        </w:rPr>
        <w:t>万元，占授予中小企业合同金额的</w:t>
      </w:r>
      <w:r>
        <w:rPr>
          <w:rFonts w:ascii="Times New Roman" w:hAnsi="Times New Roman" w:cs="Times New Roman"/>
          <w:sz w:val="32"/>
          <w:szCs w:val="32"/>
        </w:rPr>
        <w:t>69.97</w:t>
      </w:r>
      <w:r>
        <w:rPr>
          <w:rFonts w:hint="eastAsia"/>
          <w:sz w:val="32"/>
          <w:szCs w:val="32"/>
        </w:rPr>
        <w:t>%</w:t>
      </w:r>
      <w:r>
        <w:rPr>
          <w:rFonts w:hint="eastAsia"/>
          <w:color w:val="000000"/>
          <w:sz w:val="32"/>
          <w:szCs w:val="32"/>
        </w:rPr>
        <w:t>。</w:t>
      </w:r>
    </w:p>
    <w:p>
      <w:pPr>
        <w:keepNext/>
        <w:spacing w:before="100" w:beforeAutospacing="1" w:after="100" w:afterAutospacing="1" w:line="600" w:lineRule="atLeast"/>
        <w:ind w:firstLine="643" w:firstLineChars="200"/>
        <w:jc w:val="both"/>
      </w:pPr>
      <w:r>
        <w:rPr>
          <w:rFonts w:hint="eastAsia" w:ascii="黑体" w:hAnsi="黑体" w:eastAsia="黑体"/>
          <w:b/>
          <w:bCs/>
          <w:color w:val="000000"/>
          <w:sz w:val="32"/>
          <w:szCs w:val="32"/>
        </w:rPr>
        <w:t>十四、</w:t>
      </w:r>
      <w:r>
        <w:rPr>
          <w:rFonts w:hint="eastAsia" w:ascii="黑体" w:hAnsi="黑体" w:eastAsia="黑体"/>
          <w:b/>
          <w:bCs/>
          <w:sz w:val="32"/>
          <w:szCs w:val="32"/>
        </w:rPr>
        <w:t>国有资产占用情况说明</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内蒙古自治区特种设备检验研究院部门截至</w:t>
      </w:r>
      <w:r>
        <w:rPr>
          <w:rFonts w:ascii="Times New Roman" w:hAnsi="Times New Roman" w:cs="Times New Roman"/>
          <w:sz w:val="32"/>
          <w:szCs w:val="32"/>
        </w:rPr>
        <w:t>2022</w:t>
      </w:r>
      <w:r>
        <w:rPr>
          <w:rFonts w:hint="eastAsia"/>
          <w:sz w:val="32"/>
          <w:szCs w:val="32"/>
        </w:rPr>
        <w:t>年</w:t>
      </w:r>
      <w:r>
        <w:rPr>
          <w:rFonts w:ascii="Times New Roman" w:hAnsi="Times New Roman" w:cs="Times New Roman"/>
          <w:sz w:val="32"/>
          <w:szCs w:val="32"/>
        </w:rPr>
        <w:t>12</w:t>
      </w:r>
      <w:r>
        <w:rPr>
          <w:rFonts w:hint="eastAsia"/>
          <w:sz w:val="32"/>
          <w:szCs w:val="32"/>
        </w:rPr>
        <w:t>月</w:t>
      </w:r>
      <w:r>
        <w:rPr>
          <w:rFonts w:ascii="Times New Roman" w:hAnsi="Times New Roman" w:cs="Times New Roman"/>
          <w:sz w:val="32"/>
          <w:szCs w:val="32"/>
        </w:rPr>
        <w:t>31</w:t>
      </w:r>
      <w:r>
        <w:rPr>
          <w:rFonts w:hint="eastAsia"/>
          <w:sz w:val="32"/>
          <w:szCs w:val="32"/>
        </w:rPr>
        <w:t>日，本部门共有车辆</w:t>
      </w:r>
      <w:r>
        <w:rPr>
          <w:rFonts w:ascii="Times New Roman" w:hAnsi="Times New Roman" w:cs="Times New Roman"/>
          <w:sz w:val="32"/>
          <w:szCs w:val="32"/>
        </w:rPr>
        <w:t>241</w:t>
      </w:r>
      <w:r>
        <w:rPr>
          <w:rFonts w:hint="eastAsia"/>
          <w:sz w:val="32"/>
          <w:szCs w:val="32"/>
        </w:rPr>
        <w:t>辆，其中：副部（省）级及以上领导用车</w:t>
      </w:r>
      <w:r>
        <w:rPr>
          <w:rFonts w:ascii="Times New Roman" w:hAnsi="Times New Roman" w:cs="Times New Roman"/>
          <w:sz w:val="32"/>
          <w:szCs w:val="32"/>
        </w:rPr>
        <w:t>0</w:t>
      </w:r>
      <w:r>
        <w:rPr>
          <w:rFonts w:hint="eastAsia"/>
          <w:sz w:val="32"/>
          <w:szCs w:val="32"/>
        </w:rPr>
        <w:t>辆、主要领导干部用车</w:t>
      </w:r>
      <w:r>
        <w:rPr>
          <w:rFonts w:ascii="Times New Roman" w:hAnsi="Times New Roman" w:cs="Times New Roman"/>
          <w:sz w:val="32"/>
          <w:szCs w:val="32"/>
        </w:rPr>
        <w:t>0</w:t>
      </w:r>
      <w:r>
        <w:rPr>
          <w:rFonts w:hint="eastAsia"/>
          <w:sz w:val="32"/>
          <w:szCs w:val="32"/>
        </w:rPr>
        <w:t>辆、机要通信用车</w:t>
      </w:r>
      <w:r>
        <w:rPr>
          <w:rFonts w:ascii="Times New Roman" w:hAnsi="Times New Roman" w:cs="Times New Roman"/>
          <w:sz w:val="32"/>
          <w:szCs w:val="32"/>
        </w:rPr>
        <w:t>0</w:t>
      </w:r>
      <w:r>
        <w:rPr>
          <w:rFonts w:hint="eastAsia"/>
          <w:sz w:val="32"/>
          <w:szCs w:val="32"/>
        </w:rPr>
        <w:t>辆、应急保障用车</w:t>
      </w:r>
      <w:r>
        <w:rPr>
          <w:rFonts w:ascii="Times New Roman" w:hAnsi="Times New Roman" w:cs="Times New Roman"/>
          <w:sz w:val="32"/>
          <w:szCs w:val="32"/>
        </w:rPr>
        <w:t>0</w:t>
      </w:r>
      <w:r>
        <w:rPr>
          <w:rFonts w:hint="eastAsia"/>
          <w:sz w:val="32"/>
          <w:szCs w:val="32"/>
        </w:rPr>
        <w:t>辆、执法执勤用车</w:t>
      </w:r>
      <w:r>
        <w:rPr>
          <w:rFonts w:ascii="Times New Roman" w:hAnsi="Times New Roman" w:cs="Times New Roman"/>
          <w:sz w:val="32"/>
          <w:szCs w:val="32"/>
        </w:rPr>
        <w:t>0</w:t>
      </w:r>
      <w:r>
        <w:rPr>
          <w:rFonts w:hint="eastAsia"/>
          <w:sz w:val="32"/>
          <w:szCs w:val="32"/>
        </w:rPr>
        <w:t>辆、特种专业技术用车</w:t>
      </w:r>
      <w:r>
        <w:rPr>
          <w:rFonts w:ascii="Times New Roman" w:hAnsi="Times New Roman" w:cs="Times New Roman"/>
          <w:sz w:val="32"/>
          <w:szCs w:val="32"/>
        </w:rPr>
        <w:t>225</w:t>
      </w:r>
      <w:r>
        <w:rPr>
          <w:rFonts w:hint="eastAsia"/>
          <w:sz w:val="32"/>
          <w:szCs w:val="32"/>
        </w:rPr>
        <w:t>辆、离退休干部用车</w:t>
      </w:r>
      <w:r>
        <w:rPr>
          <w:rFonts w:ascii="Times New Roman" w:hAnsi="Times New Roman" w:cs="Times New Roman"/>
          <w:sz w:val="32"/>
          <w:szCs w:val="32"/>
        </w:rPr>
        <w:t>0</w:t>
      </w:r>
      <w:r>
        <w:rPr>
          <w:rFonts w:hint="eastAsia"/>
          <w:sz w:val="32"/>
          <w:szCs w:val="32"/>
        </w:rPr>
        <w:t>辆，其他用车</w:t>
      </w:r>
      <w:r>
        <w:rPr>
          <w:rFonts w:ascii="Times New Roman" w:hAnsi="Times New Roman" w:cs="Times New Roman"/>
          <w:sz w:val="32"/>
          <w:szCs w:val="32"/>
        </w:rPr>
        <w:t>16</w:t>
      </w:r>
      <w:r>
        <w:rPr>
          <w:rFonts w:hint="eastAsia"/>
          <w:sz w:val="32"/>
          <w:szCs w:val="32"/>
        </w:rPr>
        <w:t>辆；单价</w:t>
      </w:r>
      <w:r>
        <w:rPr>
          <w:rFonts w:ascii="Times New Roman" w:hAnsi="Times New Roman" w:cs="Times New Roman"/>
          <w:sz w:val="32"/>
          <w:szCs w:val="32"/>
        </w:rPr>
        <w:t>100</w:t>
      </w:r>
      <w:r>
        <w:rPr>
          <w:rFonts w:hint="eastAsia"/>
          <w:sz w:val="32"/>
          <w:szCs w:val="32"/>
        </w:rPr>
        <w:t>万元（含）以上的设备（不含车辆）</w:t>
      </w:r>
      <w:r>
        <w:rPr>
          <w:rFonts w:ascii="Times New Roman" w:hAnsi="Times New Roman" w:cs="Times New Roman"/>
          <w:sz w:val="32"/>
          <w:szCs w:val="32"/>
        </w:rPr>
        <w:t>37</w:t>
      </w:r>
      <w:r>
        <w:rPr>
          <w:rFonts w:hint="eastAsia"/>
          <w:sz w:val="32"/>
          <w:szCs w:val="32"/>
        </w:rPr>
        <w:t>台（套）。</w:t>
      </w:r>
    </w:p>
    <w:p>
      <w:pPr>
        <w:spacing w:before="100" w:beforeAutospacing="1" w:after="100" w:afterAutospacing="1" w:line="600" w:lineRule="atLeast"/>
        <w:ind w:firstLine="643" w:firstLineChars="200"/>
        <w:jc w:val="both"/>
      </w:pPr>
      <w:r>
        <w:rPr>
          <w:rFonts w:hint="eastAsia" w:ascii="黑体" w:hAnsi="黑体" w:eastAsia="黑体"/>
          <w:b/>
          <w:bCs/>
          <w:color w:val="000000"/>
          <w:sz w:val="32"/>
          <w:szCs w:val="32"/>
        </w:rPr>
        <w:t>十五、</w:t>
      </w:r>
      <w:r>
        <w:rPr>
          <w:rFonts w:hint="eastAsia" w:ascii="黑体" w:hAnsi="黑体" w:eastAsia="黑体"/>
          <w:b/>
          <w:bCs/>
          <w:sz w:val="32"/>
          <w:szCs w:val="32"/>
        </w:rPr>
        <w:t>预算绩效情况说明</w:t>
      </w:r>
    </w:p>
    <w:p>
      <w:pPr>
        <w:spacing w:before="100" w:beforeAutospacing="1" w:after="100" w:afterAutospacing="1"/>
        <w:ind w:firstLine="643" w:firstLineChars="200"/>
        <w:jc w:val="both"/>
      </w:pPr>
      <w:r>
        <w:rPr>
          <w:rFonts w:hint="eastAsia" w:ascii="楷体" w:hAnsi="楷体" w:eastAsia="楷体"/>
          <w:b/>
          <w:bCs/>
          <w:sz w:val="32"/>
          <w:szCs w:val="32"/>
        </w:rPr>
        <w:t>（一）预算绩效管理工作开展情况。</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内蒙古自治区特种设备检验研究院部门根据预算绩效管理要求组织对2022年一般公共预算项目支出全面开展绩效自评，其中一级项目</w:t>
      </w:r>
      <w:r>
        <w:rPr>
          <w:rFonts w:ascii="Times New Roman" w:hAnsi="Times New Roman" w:cs="Times New Roman"/>
          <w:sz w:val="32"/>
          <w:szCs w:val="32"/>
        </w:rPr>
        <w:t>0</w:t>
      </w:r>
      <w:r>
        <w:rPr>
          <w:rFonts w:hint="eastAsia"/>
          <w:sz w:val="32"/>
          <w:szCs w:val="32"/>
        </w:rPr>
        <w:t>个，二级项目</w:t>
      </w:r>
      <w:r>
        <w:rPr>
          <w:rFonts w:hint="eastAsia" w:ascii="Times New Roman" w:hAnsi="Times New Roman" w:cs="Times New Roman"/>
          <w:sz w:val="32"/>
          <w:szCs w:val="32"/>
        </w:rPr>
        <w:t>4</w:t>
      </w:r>
      <w:r>
        <w:rPr>
          <w:rFonts w:hint="eastAsia"/>
          <w:sz w:val="32"/>
          <w:szCs w:val="32"/>
        </w:rPr>
        <w:t>个，共涉及资金</w:t>
      </w:r>
      <w:r>
        <w:rPr>
          <w:rFonts w:ascii="Times New Roman" w:hAnsi="Times New Roman" w:cs="Times New Roman"/>
          <w:sz w:val="32"/>
          <w:szCs w:val="32"/>
        </w:rPr>
        <w:t>29,632.87</w:t>
      </w:r>
      <w:r>
        <w:rPr>
          <w:rFonts w:hint="eastAsia"/>
          <w:sz w:val="32"/>
          <w:szCs w:val="32"/>
        </w:rPr>
        <w:t>万元，占一般公共预算项目支出总额的</w:t>
      </w:r>
      <w:r>
        <w:rPr>
          <w:rFonts w:ascii="Times New Roman" w:hAnsi="Times New Roman" w:cs="Times New Roman"/>
          <w:sz w:val="32"/>
          <w:szCs w:val="32"/>
        </w:rPr>
        <w:t>100</w:t>
      </w:r>
      <w:r>
        <w:rPr>
          <w:rFonts w:hint="eastAsia"/>
          <w:sz w:val="32"/>
          <w:szCs w:val="32"/>
        </w:rPr>
        <w:t>%。</w:t>
      </w:r>
    </w:p>
    <w:p>
      <w:pPr>
        <w:spacing w:before="100" w:beforeAutospacing="1" w:after="100" w:afterAutospacing="1" w:line="560" w:lineRule="atLeast"/>
        <w:ind w:firstLine="640" w:firstLineChars="200"/>
        <w:jc w:val="both"/>
      </w:pPr>
      <w:r>
        <w:rPr>
          <w:rFonts w:hint="eastAsia"/>
          <w:sz w:val="32"/>
          <w:szCs w:val="32"/>
        </w:rPr>
        <w:t>组织对</w:t>
      </w:r>
      <w:r>
        <w:rPr>
          <w:rFonts w:ascii="Times New Roman" w:hAnsi="Times New Roman" w:cs="Times New Roman"/>
          <w:sz w:val="32"/>
          <w:szCs w:val="32"/>
        </w:rPr>
        <w:t>“</w:t>
      </w:r>
      <w:r>
        <w:rPr>
          <w:rFonts w:hint="eastAsia" w:ascii="Times New Roman" w:hAnsi="Times New Roman" w:cs="Times New Roman"/>
          <w:sz w:val="32"/>
          <w:szCs w:val="32"/>
        </w:rPr>
        <w:t>锅炉压力容器与特种设备安全监管</w:t>
      </w:r>
      <w:r>
        <w:rPr>
          <w:rFonts w:ascii="Times New Roman" w:hAnsi="Times New Roman" w:cs="Times New Roman"/>
          <w:sz w:val="32"/>
          <w:szCs w:val="32"/>
        </w:rPr>
        <w:t>”</w:t>
      </w:r>
      <w:r>
        <w:rPr>
          <w:rFonts w:hint="eastAsia"/>
          <w:sz w:val="32"/>
          <w:szCs w:val="32"/>
        </w:rPr>
        <w:t>等</w:t>
      </w:r>
      <w:r>
        <w:rPr>
          <w:rFonts w:hint="eastAsia" w:ascii="Times New Roman" w:hAnsi="Times New Roman" w:cs="Times New Roman"/>
          <w:sz w:val="32"/>
          <w:szCs w:val="32"/>
        </w:rPr>
        <w:t>2</w:t>
      </w:r>
      <w:r>
        <w:rPr>
          <w:rFonts w:hint="eastAsia"/>
          <w:sz w:val="32"/>
          <w:szCs w:val="32"/>
        </w:rPr>
        <w:t>个项目开展了部门评价，涉及一般公共预算支出</w:t>
      </w:r>
      <w:r>
        <w:rPr>
          <w:rFonts w:ascii="Times New Roman" w:hAnsi="Times New Roman" w:cs="Times New Roman"/>
          <w:sz w:val="32"/>
          <w:szCs w:val="32"/>
        </w:rPr>
        <w:t>21525.93</w:t>
      </w:r>
      <w:r>
        <w:rPr>
          <w:rFonts w:hint="eastAsia"/>
          <w:sz w:val="32"/>
          <w:szCs w:val="32"/>
        </w:rPr>
        <w:t>万元。其中，对</w:t>
      </w:r>
      <w:r>
        <w:rPr>
          <w:rFonts w:ascii="Times New Roman" w:hAnsi="Times New Roman" w:cs="Times New Roman"/>
          <w:sz w:val="32"/>
          <w:szCs w:val="32"/>
        </w:rPr>
        <w:t>“</w:t>
      </w:r>
      <w:r>
        <w:rPr>
          <w:rFonts w:hint="eastAsia" w:ascii="Times New Roman" w:hAnsi="Times New Roman" w:cs="Times New Roman"/>
          <w:sz w:val="32"/>
          <w:szCs w:val="32"/>
        </w:rPr>
        <w:t>锅炉压力容器与特种设备安全监管</w:t>
      </w:r>
      <w:r>
        <w:rPr>
          <w:rFonts w:ascii="Times New Roman" w:hAnsi="Times New Roman" w:cs="Times New Roman"/>
          <w:sz w:val="32"/>
          <w:szCs w:val="32"/>
        </w:rPr>
        <w:t>”</w:t>
      </w:r>
      <w:r>
        <w:rPr>
          <w:rFonts w:hint="eastAsia"/>
          <w:sz w:val="32"/>
          <w:szCs w:val="32"/>
        </w:rPr>
        <w:t>等22个项目分别委托相关第三方机构开展绩效评价。从评价情况看，以上项目</w:t>
      </w:r>
      <w:r>
        <w:rPr>
          <w:rFonts w:hint="eastAsia" w:ascii="Times New Roman" w:hAnsi="Times New Roman" w:cs="Times New Roman"/>
          <w:sz w:val="32"/>
          <w:szCs w:val="32"/>
        </w:rPr>
        <w:t>在项目立项决策、过程、产出及效益方面均履行了必要的审批程序，实施过程基本规范，产出和效益方面基本达到绩效目标，并有效地服务于我区在特种设备检验监管方面地方经济社会发展的需要。综合分析，按照评价指标体系及评分标准，对该建设项目进行客观评价，最终评分结果为：总得分为</w:t>
      </w:r>
      <w:r>
        <w:rPr>
          <w:rFonts w:ascii="Times New Roman" w:hAnsi="Times New Roman" w:cs="Times New Roman"/>
          <w:sz w:val="32"/>
          <w:szCs w:val="32"/>
        </w:rPr>
        <w:t>90</w:t>
      </w:r>
      <w:r>
        <w:rPr>
          <w:rFonts w:hint="eastAsia" w:ascii="Times New Roman" w:hAnsi="Times New Roman" w:cs="Times New Roman"/>
          <w:sz w:val="32"/>
          <w:szCs w:val="32"/>
        </w:rPr>
        <w:t>分，属于</w:t>
      </w:r>
      <w:r>
        <w:rPr>
          <w:rFonts w:ascii="Times New Roman" w:hAnsi="Times New Roman" w:cs="Times New Roman"/>
          <w:sz w:val="32"/>
          <w:szCs w:val="32"/>
        </w:rPr>
        <w:t>“</w:t>
      </w:r>
      <w:r>
        <w:rPr>
          <w:rFonts w:hint="eastAsia" w:ascii="Times New Roman" w:hAnsi="Times New Roman" w:cs="Times New Roman"/>
          <w:sz w:val="32"/>
          <w:szCs w:val="32"/>
        </w:rPr>
        <w:t>优</w:t>
      </w:r>
      <w:r>
        <w:rPr>
          <w:rFonts w:ascii="Times New Roman" w:hAnsi="Times New Roman" w:cs="Times New Roman"/>
          <w:sz w:val="32"/>
          <w:szCs w:val="32"/>
        </w:rPr>
        <w:t>”</w:t>
      </w:r>
      <w:r>
        <w:rPr>
          <w:rFonts w:hint="eastAsia"/>
          <w:sz w:val="32"/>
          <w:szCs w:val="32"/>
        </w:rPr>
        <w:t>。</w:t>
      </w:r>
    </w:p>
    <w:p>
      <w:pPr>
        <w:spacing w:before="100" w:beforeAutospacing="1" w:after="100" w:afterAutospacing="1"/>
        <w:ind w:firstLine="643" w:firstLineChars="200"/>
        <w:jc w:val="both"/>
      </w:pPr>
      <w:r>
        <w:rPr>
          <w:rFonts w:hint="eastAsia" w:ascii="楷体" w:hAnsi="楷体" w:eastAsia="楷体"/>
          <w:b/>
          <w:bCs/>
          <w:sz w:val="32"/>
          <w:szCs w:val="32"/>
        </w:rPr>
        <w:t>（二）部门决算中项目绩效自评结果。</w:t>
      </w:r>
    </w:p>
    <w:p>
      <w:pPr>
        <w:spacing w:before="100" w:beforeAutospacing="1" w:after="100" w:afterAutospacing="1" w:line="560" w:lineRule="atLeast"/>
        <w:ind w:firstLine="640" w:firstLineChars="200"/>
        <w:jc w:val="both"/>
      </w:pPr>
      <w:r>
        <w:rPr>
          <w:rFonts w:hint="eastAsia"/>
          <w:sz w:val="32"/>
          <w:szCs w:val="32"/>
        </w:rPr>
        <w:t>内蒙古自治区特种设备检验研究院部门2022年度在决算中反映</w:t>
      </w:r>
      <w:r>
        <w:rPr>
          <w:rFonts w:ascii="Times New Roman" w:hAnsi="Times New Roman" w:cs="Times New Roman"/>
          <w:sz w:val="32"/>
          <w:szCs w:val="32"/>
        </w:rPr>
        <w:t>4</w:t>
      </w:r>
      <w:r>
        <w:rPr>
          <w:rFonts w:hint="eastAsia"/>
          <w:sz w:val="32"/>
          <w:szCs w:val="32"/>
        </w:rPr>
        <w:t>个一般公共预算项目，共</w:t>
      </w:r>
      <w:r>
        <w:rPr>
          <w:rFonts w:ascii="Times New Roman" w:hAnsi="Times New Roman" w:cs="Times New Roman"/>
          <w:sz w:val="32"/>
          <w:szCs w:val="32"/>
        </w:rPr>
        <w:t>4</w:t>
      </w:r>
      <w:r>
        <w:rPr>
          <w:rFonts w:hint="eastAsia"/>
          <w:sz w:val="32"/>
          <w:szCs w:val="32"/>
        </w:rPr>
        <w:t>个项目的绩效自评结果。</w:t>
      </w:r>
    </w:p>
    <w:p>
      <w:pPr>
        <w:spacing w:before="100" w:beforeAutospacing="1" w:after="100" w:afterAutospacing="1" w:line="560" w:lineRule="atLeast"/>
        <w:ind w:firstLine="640" w:firstLineChars="200"/>
        <w:jc w:val="both"/>
      </w:pPr>
      <w:r>
        <w:rPr>
          <w:rFonts w:ascii="Times New Roman" w:hAnsi="Times New Roman" w:cs="Times New Roman"/>
          <w:sz w:val="32"/>
          <w:szCs w:val="32"/>
        </w:rPr>
        <w:t>1.</w:t>
      </w:r>
      <w:r>
        <w:rPr>
          <w:rFonts w:hint="eastAsia"/>
          <w:sz w:val="32"/>
          <w:szCs w:val="32"/>
        </w:rPr>
        <w:t>锅炉压力容器与特种设备安全监管项目自评综述：根据年初设定的绩效目标，项目自评得分</w:t>
      </w:r>
      <w:r>
        <w:rPr>
          <w:rFonts w:ascii="Times New Roman" w:hAnsi="Times New Roman" w:cs="Times New Roman"/>
          <w:sz w:val="32"/>
          <w:szCs w:val="32"/>
        </w:rPr>
        <w:t>95</w:t>
      </w:r>
      <w:r>
        <w:rPr>
          <w:rFonts w:hint="eastAsia"/>
          <w:sz w:val="32"/>
          <w:szCs w:val="32"/>
        </w:rPr>
        <w:t>分。全年预算数为</w:t>
      </w:r>
      <w:r>
        <w:rPr>
          <w:rFonts w:ascii="Times New Roman" w:hAnsi="Times New Roman" w:cs="Times New Roman"/>
          <w:sz w:val="32"/>
          <w:szCs w:val="32"/>
        </w:rPr>
        <w:t>21116</w:t>
      </w:r>
      <w:r>
        <w:rPr>
          <w:rFonts w:hint="eastAsia"/>
          <w:sz w:val="32"/>
          <w:szCs w:val="32"/>
        </w:rPr>
        <w:t>万元，执行数为</w:t>
      </w:r>
      <w:r>
        <w:rPr>
          <w:rFonts w:ascii="Times New Roman" w:hAnsi="Times New Roman" w:cs="Times New Roman"/>
          <w:sz w:val="32"/>
          <w:szCs w:val="32"/>
        </w:rPr>
        <w:t>20127.43</w:t>
      </w:r>
      <w:r>
        <w:rPr>
          <w:rFonts w:hint="eastAsia"/>
          <w:sz w:val="32"/>
          <w:szCs w:val="32"/>
        </w:rPr>
        <w:t>万元，完成预算的</w:t>
      </w:r>
      <w:r>
        <w:rPr>
          <w:rFonts w:ascii="Times New Roman" w:hAnsi="Times New Roman" w:cs="Times New Roman"/>
          <w:sz w:val="32"/>
          <w:szCs w:val="32"/>
        </w:rPr>
        <w:t>95.32</w:t>
      </w:r>
      <w:r>
        <w:rPr>
          <w:rFonts w:hint="eastAsia"/>
          <w:sz w:val="32"/>
          <w:szCs w:val="32"/>
        </w:rPr>
        <w:t>%。项目绩效目标完成情况：2022年特检院（全院）本项目设定的绩效目标至少完成57.46多万台/套（个、只）特种设备的检测任务。经调查统计，全院全年检测任务基本完成，2022年全院全年共承检各类特种设备175504台（含锅炉7019台、压力容器40302台、电梯98591台、医用氧舱51台、起重机械13378台、厂车13126台、大型游乐设施243台、危险化学品承压罐车859台，危险化学品常压罐车1935台），压力管道2305.37千米，安全附件9006个，各类气瓶264213只，安全阀校验124301只。全年对全区锅炉设计文件鉴定和节能审查50套，特种设备作业人员考核发证15329人，检测锅炉水样、金属材料、煤灰分析5415批次。全年出具各类检验检测报告38万余份。发现的主要问题及原因：预算编制与政府工作安排时间不同步，即预算申报时间在前，重点工作任务安排在后，导致预算资金与工作安排匹配程度较低。预算编制与政府工作安排时间不同步，即预算申报时间在前，重点工作任务安排在后，导致预算资金与工作安排匹配程度较低。下一步改进措施：在绩效目标评价工作试运行过程中，我单位不断完善体系指标设置、改进考核评估方法，使评价工作更加合理、更加有效，用事后监督促进事前管理，进一步确保自治区专项资金落到实处、起到实效。</w:t>
      </w:r>
    </w:p>
    <w:p>
      <w:pPr>
        <w:spacing w:before="100" w:beforeAutospacing="1" w:after="100" w:afterAutospacing="1" w:line="560" w:lineRule="atLeast"/>
        <w:ind w:firstLine="640" w:firstLineChars="200"/>
        <w:jc w:val="both"/>
      </w:pPr>
      <w:r>
        <w:rPr>
          <w:rFonts w:ascii="Times New Roman" w:hAnsi="Times New Roman" w:cs="Times New Roman"/>
          <w:sz w:val="32"/>
          <w:szCs w:val="32"/>
        </w:rPr>
        <w:t>2.</w:t>
      </w:r>
      <w:r>
        <w:rPr>
          <w:rFonts w:hint="eastAsia"/>
          <w:sz w:val="32"/>
          <w:szCs w:val="32"/>
        </w:rPr>
        <w:t>定项补助项目自评综述：根据年初设定的绩效目标，项目自评得分100.00分。全年预算数为7,854.00万元，执行数为7,655.15万元，完成预算的97.47%。项目绩效目标完成情况：通过保障全年在职职工基本工资、津贴补贴、绩效工资及各项社会保险、住房公积金的缴纳，保障单位基本支出运转，保障了特种设备检验检测工作顺利开展。发现的主要问题及原因：预算编制与政府工作安排时间不同步，即预算申报时间在前，重点工作任务安排在后，导致预算资金与工作安排匹配程度较低。预算编制与政府工作安排时间不同步，即预算申报时间在前，重点工作任务安排在后，导致预算资金与工作安排匹配程度较低。下一步改进措施：在绩效目标评价工作试运行过程中，我单位不断完善体系指标设置、改进考核评估方法，使评价工作更加合理、更加有效，用事后监督促进事前管理，进一步确保自治区专项资金落到实处、起到实效。</w:t>
      </w:r>
    </w:p>
    <w:p>
      <w:pPr>
        <w:spacing w:before="100" w:beforeAutospacing="1" w:after="100" w:afterAutospacing="1"/>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3.上年结转-锅炉压力容器与特种设备安全监管项目自评综述：根据年初设定的绩效目标，项目自评得分100分。全年预算数为1,761.10万元，执行数为1,615.32万元，完成预算的91.72%。项目绩效目标完成情况：继续完成了2021年的特种设备检验任务，保证了特种设备安全运行。发现的主要问题及原因：预算编制与政府工作安排时间不同步，即预算申报时间在前，重点工作任务安排在后，导致预算资金与工作安排匹配程度较低。预算编制与政府工作安排时间不同步，即预算申报时间在前，重点工作任务安排在后，导致预算资金与工作安排匹配程度较低。下一步改进措施：在绩效目标评价工作试运行过程中，我单位不断完善体系指标设置、改进考核评估方法，使评价工作更加合理、更加有效，用事后监督促进事前管理，进一步确保自治区专项资金落到实处、起到实效。</w:t>
      </w:r>
    </w:p>
    <w:p>
      <w:pPr>
        <w:spacing w:before="100" w:beforeAutospacing="1" w:after="100" w:afterAutospacing="1"/>
        <w:ind w:firstLine="640" w:firstLineChars="200"/>
        <w:jc w:val="both"/>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4.基于动力学分析的高速电梯安全运行检测与孪生可视化技术研究项目自评综述(决算公开表中名称为其他应用研究支出-发改委)：根据年初设定的绩效目标，项目自评得分61.56分。全年预算数为96万元，执行数为29万元，完成预算的30.21%。项目绩效目标完成情况：受资金下达及疫情影响，完成了样机轿厢参数监测模块，样机开发进度达到40%；完成了系统框架开发、数据库开发、移动端APP开发，系统开发进度到达40%。发现的主要问题及原因：资金下达较晚，加上疫情影响，原本在2022年完成的任务无法达到。下一步改进措施：在绩效目标评价工作方面，内蒙古自治区特种设备检验研究院围绕项目的产出数量、质量、时效、成本，以及经济效益、社会效益、生态效益、可持续影像、服务对象满意度等方面强化支出责任和效率意识，不断完善自评工作规范，优化评价体系，确保评价指标体系科学合理，评价结果客观真实。同时，用事后监督促进事前管理，进一步确保资金落到实处、起到实效。</w:t>
      </w:r>
    </w:p>
    <w:p>
      <w:pPr>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tbl>
      <w:tblPr>
        <w:tblStyle w:val="9"/>
        <w:tblW w:w="5000" w:type="pct"/>
        <w:tblInd w:w="0" w:type="dxa"/>
        <w:tblLayout w:type="autofit"/>
        <w:tblCellMar>
          <w:top w:w="0" w:type="dxa"/>
          <w:left w:w="108" w:type="dxa"/>
          <w:bottom w:w="0" w:type="dxa"/>
          <w:right w:w="108" w:type="dxa"/>
        </w:tblCellMar>
      </w:tblPr>
      <w:tblGrid>
        <w:gridCol w:w="560"/>
        <w:gridCol w:w="561"/>
        <w:gridCol w:w="832"/>
        <w:gridCol w:w="851"/>
        <w:gridCol w:w="707"/>
        <w:gridCol w:w="286"/>
        <w:gridCol w:w="989"/>
        <w:gridCol w:w="992"/>
        <w:gridCol w:w="363"/>
        <w:gridCol w:w="583"/>
        <w:gridCol w:w="515"/>
        <w:gridCol w:w="94"/>
        <w:gridCol w:w="578"/>
        <w:gridCol w:w="612"/>
      </w:tblGrid>
      <w:tr>
        <w:tblPrEx>
          <w:tblCellMar>
            <w:top w:w="0" w:type="dxa"/>
            <w:left w:w="108" w:type="dxa"/>
            <w:bottom w:w="0" w:type="dxa"/>
            <w:right w:w="108" w:type="dxa"/>
          </w:tblCellMar>
        </w:tblPrEx>
        <w:trPr>
          <w:trHeight w:val="408" w:hRule="atLeast"/>
        </w:trPr>
        <w:tc>
          <w:tcPr>
            <w:tcW w:w="5000" w:type="pct"/>
            <w:gridSpan w:val="14"/>
            <w:vAlign w:val="center"/>
          </w:tcPr>
          <w:p>
            <w:pPr>
              <w:jc w:val="center"/>
              <w:rPr>
                <w:b/>
                <w:bCs/>
                <w:color w:val="000000"/>
                <w:sz w:val="32"/>
                <w:szCs w:val="32"/>
              </w:rPr>
            </w:pPr>
            <w:r>
              <w:rPr>
                <w:rFonts w:hint="eastAsia"/>
                <w:b/>
                <w:bCs/>
                <w:color w:val="000000"/>
                <w:sz w:val="32"/>
                <w:szCs w:val="32"/>
              </w:rPr>
              <w:t>项目支出绩效自评表</w:t>
            </w:r>
          </w:p>
        </w:tc>
      </w:tr>
      <w:tr>
        <w:tblPrEx>
          <w:tblCellMar>
            <w:top w:w="0" w:type="dxa"/>
            <w:left w:w="108" w:type="dxa"/>
            <w:bottom w:w="0" w:type="dxa"/>
            <w:right w:w="108" w:type="dxa"/>
          </w:tblCellMar>
        </w:tblPrEx>
        <w:trPr>
          <w:trHeight w:val="300" w:hRule="atLeast"/>
        </w:trPr>
        <w:tc>
          <w:tcPr>
            <w:tcW w:w="5000" w:type="pct"/>
            <w:gridSpan w:val="14"/>
            <w:tcBorders>
              <w:top w:val="nil"/>
              <w:left w:val="nil"/>
              <w:bottom w:val="single" w:color="auto" w:sz="8" w:space="0"/>
              <w:right w:val="nil"/>
            </w:tcBorders>
          </w:tcPr>
          <w:p>
            <w:pPr>
              <w:jc w:val="center"/>
              <w:rPr>
                <w:color w:val="000000"/>
                <w:sz w:val="22"/>
              </w:rPr>
            </w:pPr>
            <w:r>
              <w:rPr>
                <w:rFonts w:hint="eastAsia"/>
                <w:color w:val="000000"/>
                <w:sz w:val="22"/>
              </w:rPr>
              <w:t>（2022年度）</w:t>
            </w:r>
          </w:p>
        </w:tc>
      </w:tr>
      <w:tr>
        <w:tblPrEx>
          <w:tblCellMar>
            <w:top w:w="0" w:type="dxa"/>
            <w:left w:w="108" w:type="dxa"/>
            <w:bottom w:w="0" w:type="dxa"/>
            <w:right w:w="108" w:type="dxa"/>
          </w:tblCellMar>
        </w:tblPrEx>
        <w:trPr>
          <w:trHeight w:val="288" w:hRule="atLeast"/>
        </w:trPr>
        <w:tc>
          <w:tcPr>
            <w:tcW w:w="658" w:type="pct"/>
            <w:gridSpan w:val="2"/>
            <w:tcBorders>
              <w:top w:val="single" w:color="auto" w:sz="8" w:space="0"/>
              <w:left w:val="single" w:color="auto" w:sz="8" w:space="0"/>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项目名称</w:t>
            </w:r>
          </w:p>
        </w:tc>
        <w:tc>
          <w:tcPr>
            <w:tcW w:w="4342" w:type="pct"/>
            <w:gridSpan w:val="1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锅炉压力容器与特种设备安全监管</w:t>
            </w:r>
          </w:p>
        </w:tc>
      </w:tr>
      <w:tr>
        <w:tblPrEx>
          <w:tblCellMar>
            <w:top w:w="0" w:type="dxa"/>
            <w:left w:w="108" w:type="dxa"/>
            <w:bottom w:w="0" w:type="dxa"/>
            <w:right w:w="108" w:type="dxa"/>
          </w:tblCellMar>
        </w:tblPrEx>
        <w:trPr>
          <w:trHeight w:val="288" w:hRule="atLeast"/>
        </w:trPr>
        <w:tc>
          <w:tcPr>
            <w:tcW w:w="658" w:type="pct"/>
            <w:gridSpan w:val="2"/>
            <w:tcBorders>
              <w:top w:val="single" w:color="auto" w:sz="8" w:space="0"/>
              <w:left w:val="single" w:color="auto" w:sz="8" w:space="0"/>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主管部门</w:t>
            </w:r>
          </w:p>
        </w:tc>
        <w:tc>
          <w:tcPr>
            <w:tcW w:w="2150" w:type="pct"/>
            <w:gridSpan w:val="5"/>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内蒙古自治区市场监督管理局</w:t>
            </w:r>
          </w:p>
        </w:tc>
        <w:tc>
          <w:tcPr>
            <w:tcW w:w="58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实施单位</w:t>
            </w:r>
          </w:p>
        </w:tc>
        <w:tc>
          <w:tcPr>
            <w:tcW w:w="1610" w:type="pct"/>
            <w:gridSpan w:val="6"/>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自治区特种设备检验研究院、自治区特种设备检验研究院呼伦贝尔分院、自治区特种设备检验研究院兴安分院、自治区特种设备检验研究院通辽分院、自治区特种设备检验研究院锡林郭勒分院、自治区特种设备检验研究院乌兰察布分院、自治区特种设备检验研究院鄂尔多斯分院、自治区特种设备检验研究院巴彦淖尔分院、自治区特种设备检验研究院阿拉善分院、自治区特种设备检验研究院包头分院、自治区特种设备检验研究院乌海分院、自治区特种设备检验研究院赤峰分院、自治区特种设备检验研究院二连浩特分院、自治区特种设备检验研究院满洲里分院</w:t>
            </w:r>
          </w:p>
        </w:tc>
      </w:tr>
      <w:tr>
        <w:tblPrEx>
          <w:tblCellMar>
            <w:top w:w="0" w:type="dxa"/>
            <w:left w:w="108" w:type="dxa"/>
            <w:bottom w:w="0" w:type="dxa"/>
            <w:right w:w="108" w:type="dxa"/>
          </w:tblCellMar>
        </w:tblPrEx>
        <w:trPr>
          <w:trHeight w:val="288" w:hRule="atLeast"/>
        </w:trPr>
        <w:tc>
          <w:tcPr>
            <w:tcW w:w="658" w:type="pct"/>
            <w:gridSpan w:val="2"/>
            <w:vMerge w:val="restart"/>
            <w:tcBorders>
              <w:top w:val="single" w:color="auto" w:sz="8" w:space="0"/>
              <w:left w:val="single" w:color="auto" w:sz="8" w:space="0"/>
              <w:bottom w:val="single" w:color="000000" w:sz="8" w:space="0"/>
              <w:right w:val="single" w:color="000000" w:sz="8" w:space="0"/>
            </w:tcBorders>
            <w:vAlign w:val="center"/>
          </w:tcPr>
          <w:p>
            <w:pPr>
              <w:jc w:val="center"/>
              <w:rPr>
                <w:color w:val="000000"/>
                <w:sz w:val="15"/>
                <w:szCs w:val="15"/>
              </w:rPr>
            </w:pPr>
            <w:r>
              <w:rPr>
                <w:rFonts w:hint="eastAsia"/>
                <w:color w:val="000000"/>
                <w:sz w:val="15"/>
                <w:szCs w:val="15"/>
              </w:rPr>
              <w:t>项目资金（万元）</w:t>
            </w:r>
          </w:p>
        </w:tc>
        <w:tc>
          <w:tcPr>
            <w:tcW w:w="98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c>
          <w:tcPr>
            <w:tcW w:w="583" w:type="pct"/>
            <w:gridSpan w:val="2"/>
            <w:tcBorders>
              <w:top w:val="nil"/>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年初预算数</w:t>
            </w:r>
          </w:p>
        </w:tc>
        <w:tc>
          <w:tcPr>
            <w:tcW w:w="580"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全年预算数</w:t>
            </w:r>
          </w:p>
        </w:tc>
        <w:tc>
          <w:tcPr>
            <w:tcW w:w="58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全年执行数</w:t>
            </w:r>
          </w:p>
        </w:tc>
        <w:tc>
          <w:tcPr>
            <w:tcW w:w="857" w:type="pct"/>
            <w:gridSpan w:val="3"/>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分值</w:t>
            </w:r>
          </w:p>
        </w:tc>
        <w:tc>
          <w:tcPr>
            <w:tcW w:w="394"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执行率</w:t>
            </w:r>
          </w:p>
        </w:tc>
        <w:tc>
          <w:tcPr>
            <w:tcW w:w="359" w:type="pct"/>
            <w:tcBorders>
              <w:top w:val="nil"/>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得分</w:t>
            </w:r>
          </w:p>
        </w:tc>
      </w:tr>
      <w:tr>
        <w:tblPrEx>
          <w:tblCellMar>
            <w:top w:w="0" w:type="dxa"/>
            <w:left w:w="108" w:type="dxa"/>
            <w:bottom w:w="0" w:type="dxa"/>
            <w:right w:w="108" w:type="dxa"/>
          </w:tblCellMar>
        </w:tblPrEx>
        <w:trPr>
          <w:trHeight w:val="288" w:hRule="atLeast"/>
        </w:trPr>
        <w:tc>
          <w:tcPr>
            <w:tcW w:w="0" w:type="auto"/>
            <w:gridSpan w:val="2"/>
            <w:vMerge w:val="continue"/>
            <w:tcBorders>
              <w:top w:val="single" w:color="auto" w:sz="8" w:space="0"/>
              <w:left w:val="single" w:color="auto" w:sz="8" w:space="0"/>
              <w:bottom w:val="single" w:color="000000" w:sz="8" w:space="0"/>
              <w:right w:val="single" w:color="000000" w:sz="8" w:space="0"/>
            </w:tcBorders>
            <w:vAlign w:val="center"/>
          </w:tcPr>
          <w:p>
            <w:pPr>
              <w:rPr>
                <w:color w:val="000000"/>
                <w:sz w:val="15"/>
                <w:szCs w:val="15"/>
              </w:rPr>
            </w:pPr>
          </w:p>
        </w:tc>
        <w:tc>
          <w:tcPr>
            <w:tcW w:w="987"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年度资金总额</w:t>
            </w:r>
          </w:p>
        </w:tc>
        <w:tc>
          <w:tcPr>
            <w:tcW w:w="583" w:type="pct"/>
            <w:gridSpan w:val="2"/>
            <w:tcBorders>
              <w:top w:val="nil"/>
              <w:left w:val="nil"/>
              <w:bottom w:val="single" w:color="auto" w:sz="8" w:space="0"/>
              <w:right w:val="single" w:color="auto" w:sz="8" w:space="0"/>
            </w:tcBorders>
            <w:vAlign w:val="center"/>
          </w:tcPr>
          <w:p>
            <w:pPr>
              <w:jc w:val="right"/>
              <w:rPr>
                <w:color w:val="000000"/>
                <w:sz w:val="15"/>
                <w:szCs w:val="15"/>
              </w:rPr>
            </w:pPr>
            <w:r>
              <w:rPr>
                <w:rFonts w:hint="eastAsia"/>
                <w:color w:val="000000"/>
                <w:sz w:val="15"/>
                <w:szCs w:val="15"/>
              </w:rPr>
              <w:t>21,116.00</w:t>
            </w:r>
          </w:p>
        </w:tc>
        <w:tc>
          <w:tcPr>
            <w:tcW w:w="580" w:type="pct"/>
            <w:tcBorders>
              <w:top w:val="single" w:color="auto" w:sz="8" w:space="0"/>
              <w:left w:val="nil"/>
              <w:bottom w:val="single" w:color="auto" w:sz="8" w:space="0"/>
              <w:right w:val="single" w:color="000000" w:sz="8" w:space="0"/>
            </w:tcBorders>
            <w:vAlign w:val="center"/>
          </w:tcPr>
          <w:p>
            <w:pPr>
              <w:jc w:val="right"/>
              <w:rPr>
                <w:color w:val="000000"/>
                <w:sz w:val="15"/>
                <w:szCs w:val="15"/>
              </w:rPr>
            </w:pPr>
            <w:r>
              <w:rPr>
                <w:rFonts w:hint="eastAsia"/>
                <w:color w:val="000000"/>
                <w:sz w:val="15"/>
                <w:szCs w:val="15"/>
              </w:rPr>
              <w:t>20,127.43</w:t>
            </w:r>
          </w:p>
        </w:tc>
        <w:tc>
          <w:tcPr>
            <w:tcW w:w="582" w:type="pct"/>
            <w:tcBorders>
              <w:top w:val="single" w:color="auto" w:sz="8" w:space="0"/>
              <w:left w:val="nil"/>
              <w:bottom w:val="single" w:color="auto" w:sz="8" w:space="0"/>
              <w:right w:val="single" w:color="000000" w:sz="8" w:space="0"/>
            </w:tcBorders>
            <w:vAlign w:val="center"/>
          </w:tcPr>
          <w:p>
            <w:pPr>
              <w:jc w:val="right"/>
              <w:rPr>
                <w:color w:val="000000"/>
                <w:sz w:val="15"/>
                <w:szCs w:val="15"/>
              </w:rPr>
            </w:pPr>
            <w:r>
              <w:rPr>
                <w:rFonts w:hint="eastAsia"/>
                <w:color w:val="000000"/>
                <w:sz w:val="15"/>
                <w:szCs w:val="15"/>
              </w:rPr>
              <w:t>20,127.43</w:t>
            </w:r>
          </w:p>
        </w:tc>
        <w:tc>
          <w:tcPr>
            <w:tcW w:w="857" w:type="pct"/>
            <w:gridSpan w:val="3"/>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w:t>
            </w:r>
          </w:p>
        </w:tc>
        <w:tc>
          <w:tcPr>
            <w:tcW w:w="394"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100%</w:t>
            </w:r>
          </w:p>
        </w:tc>
        <w:tc>
          <w:tcPr>
            <w:tcW w:w="359" w:type="pct"/>
            <w:tcBorders>
              <w:top w:val="nil"/>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10</w:t>
            </w:r>
          </w:p>
        </w:tc>
      </w:tr>
      <w:tr>
        <w:tblPrEx>
          <w:tblCellMar>
            <w:top w:w="0" w:type="dxa"/>
            <w:left w:w="108" w:type="dxa"/>
            <w:bottom w:w="0" w:type="dxa"/>
            <w:right w:w="108" w:type="dxa"/>
          </w:tblCellMar>
        </w:tblPrEx>
        <w:trPr>
          <w:trHeight w:val="288" w:hRule="atLeast"/>
        </w:trPr>
        <w:tc>
          <w:tcPr>
            <w:tcW w:w="0" w:type="auto"/>
            <w:gridSpan w:val="2"/>
            <w:vMerge w:val="continue"/>
            <w:tcBorders>
              <w:top w:val="single" w:color="auto" w:sz="8" w:space="0"/>
              <w:left w:val="single" w:color="auto" w:sz="8" w:space="0"/>
              <w:bottom w:val="single" w:color="000000" w:sz="8" w:space="0"/>
              <w:right w:val="single" w:color="000000" w:sz="8" w:space="0"/>
            </w:tcBorders>
            <w:vAlign w:val="center"/>
          </w:tcPr>
          <w:p>
            <w:pPr>
              <w:rPr>
                <w:color w:val="000000"/>
                <w:sz w:val="15"/>
                <w:szCs w:val="15"/>
              </w:rPr>
            </w:pPr>
          </w:p>
        </w:tc>
        <w:tc>
          <w:tcPr>
            <w:tcW w:w="98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其中：当年财政拨款</w:t>
            </w:r>
          </w:p>
        </w:tc>
        <w:tc>
          <w:tcPr>
            <w:tcW w:w="583" w:type="pct"/>
            <w:gridSpan w:val="2"/>
            <w:tcBorders>
              <w:top w:val="nil"/>
              <w:left w:val="nil"/>
              <w:bottom w:val="single" w:color="auto" w:sz="8" w:space="0"/>
              <w:right w:val="single" w:color="auto" w:sz="8" w:space="0"/>
            </w:tcBorders>
            <w:vAlign w:val="center"/>
          </w:tcPr>
          <w:p>
            <w:pPr>
              <w:jc w:val="right"/>
              <w:rPr>
                <w:color w:val="000000"/>
                <w:sz w:val="15"/>
                <w:szCs w:val="15"/>
              </w:rPr>
            </w:pPr>
            <w:r>
              <w:rPr>
                <w:rFonts w:hint="eastAsia"/>
                <w:color w:val="000000"/>
                <w:sz w:val="15"/>
                <w:szCs w:val="15"/>
              </w:rPr>
              <w:t>21,116.00</w:t>
            </w:r>
          </w:p>
        </w:tc>
        <w:tc>
          <w:tcPr>
            <w:tcW w:w="580" w:type="pct"/>
            <w:tcBorders>
              <w:top w:val="single" w:color="auto" w:sz="8" w:space="0"/>
              <w:left w:val="nil"/>
              <w:bottom w:val="single" w:color="auto" w:sz="8" w:space="0"/>
              <w:right w:val="single" w:color="000000" w:sz="8" w:space="0"/>
            </w:tcBorders>
            <w:vAlign w:val="center"/>
          </w:tcPr>
          <w:p>
            <w:pPr>
              <w:jc w:val="right"/>
              <w:rPr>
                <w:color w:val="000000"/>
                <w:sz w:val="15"/>
                <w:szCs w:val="15"/>
              </w:rPr>
            </w:pPr>
            <w:r>
              <w:rPr>
                <w:rFonts w:hint="eastAsia"/>
                <w:color w:val="000000"/>
                <w:sz w:val="15"/>
                <w:szCs w:val="15"/>
              </w:rPr>
              <w:t>20,127.43</w:t>
            </w:r>
          </w:p>
        </w:tc>
        <w:tc>
          <w:tcPr>
            <w:tcW w:w="582" w:type="pct"/>
            <w:tcBorders>
              <w:top w:val="single" w:color="auto" w:sz="8" w:space="0"/>
              <w:left w:val="nil"/>
              <w:bottom w:val="single" w:color="auto" w:sz="8" w:space="0"/>
              <w:right w:val="single" w:color="000000" w:sz="8" w:space="0"/>
            </w:tcBorders>
            <w:vAlign w:val="center"/>
          </w:tcPr>
          <w:p>
            <w:pPr>
              <w:jc w:val="right"/>
              <w:rPr>
                <w:color w:val="000000"/>
                <w:sz w:val="15"/>
                <w:szCs w:val="15"/>
              </w:rPr>
            </w:pPr>
            <w:r>
              <w:rPr>
                <w:rFonts w:hint="eastAsia"/>
                <w:color w:val="000000"/>
                <w:sz w:val="15"/>
                <w:szCs w:val="15"/>
              </w:rPr>
              <w:t>20,127.43</w:t>
            </w:r>
          </w:p>
        </w:tc>
        <w:tc>
          <w:tcPr>
            <w:tcW w:w="857" w:type="pct"/>
            <w:gridSpan w:val="3"/>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w:t>
            </w:r>
          </w:p>
        </w:tc>
        <w:tc>
          <w:tcPr>
            <w:tcW w:w="394"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100%</w:t>
            </w:r>
          </w:p>
        </w:tc>
        <w:tc>
          <w:tcPr>
            <w:tcW w:w="359" w:type="pct"/>
            <w:tcBorders>
              <w:top w:val="nil"/>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w:t>
            </w:r>
          </w:p>
        </w:tc>
      </w:tr>
      <w:tr>
        <w:tblPrEx>
          <w:tblCellMar>
            <w:top w:w="0" w:type="dxa"/>
            <w:left w:w="108" w:type="dxa"/>
            <w:bottom w:w="0" w:type="dxa"/>
            <w:right w:w="108" w:type="dxa"/>
          </w:tblCellMar>
        </w:tblPrEx>
        <w:trPr>
          <w:trHeight w:val="288" w:hRule="atLeast"/>
        </w:trPr>
        <w:tc>
          <w:tcPr>
            <w:tcW w:w="0" w:type="auto"/>
            <w:gridSpan w:val="2"/>
            <w:vMerge w:val="continue"/>
            <w:tcBorders>
              <w:top w:val="single" w:color="auto" w:sz="8" w:space="0"/>
              <w:left w:val="single" w:color="auto" w:sz="8" w:space="0"/>
              <w:bottom w:val="single" w:color="000000" w:sz="8" w:space="0"/>
              <w:right w:val="single" w:color="000000" w:sz="8" w:space="0"/>
            </w:tcBorders>
            <w:vAlign w:val="center"/>
          </w:tcPr>
          <w:p>
            <w:pPr>
              <w:rPr>
                <w:color w:val="000000"/>
                <w:sz w:val="15"/>
                <w:szCs w:val="15"/>
              </w:rPr>
            </w:pPr>
          </w:p>
        </w:tc>
        <w:tc>
          <w:tcPr>
            <w:tcW w:w="98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上年结转资金</w:t>
            </w:r>
          </w:p>
        </w:tc>
        <w:tc>
          <w:tcPr>
            <w:tcW w:w="583" w:type="pct"/>
            <w:gridSpan w:val="2"/>
            <w:tcBorders>
              <w:top w:val="nil"/>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　</w:t>
            </w:r>
          </w:p>
        </w:tc>
        <w:tc>
          <w:tcPr>
            <w:tcW w:w="580"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c>
          <w:tcPr>
            <w:tcW w:w="58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c>
          <w:tcPr>
            <w:tcW w:w="857" w:type="pct"/>
            <w:gridSpan w:val="3"/>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w:t>
            </w:r>
          </w:p>
        </w:tc>
        <w:tc>
          <w:tcPr>
            <w:tcW w:w="394"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c>
          <w:tcPr>
            <w:tcW w:w="359" w:type="pct"/>
            <w:tcBorders>
              <w:top w:val="nil"/>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w:t>
            </w:r>
          </w:p>
        </w:tc>
      </w:tr>
      <w:tr>
        <w:tblPrEx>
          <w:tblCellMar>
            <w:top w:w="0" w:type="dxa"/>
            <w:left w:w="108" w:type="dxa"/>
            <w:bottom w:w="0" w:type="dxa"/>
            <w:right w:w="108" w:type="dxa"/>
          </w:tblCellMar>
        </w:tblPrEx>
        <w:trPr>
          <w:trHeight w:val="288" w:hRule="atLeast"/>
        </w:trPr>
        <w:tc>
          <w:tcPr>
            <w:tcW w:w="0" w:type="auto"/>
            <w:gridSpan w:val="2"/>
            <w:vMerge w:val="continue"/>
            <w:tcBorders>
              <w:top w:val="single" w:color="auto" w:sz="8" w:space="0"/>
              <w:left w:val="single" w:color="auto" w:sz="8" w:space="0"/>
              <w:bottom w:val="single" w:color="000000" w:sz="8" w:space="0"/>
              <w:right w:val="single" w:color="000000" w:sz="8" w:space="0"/>
            </w:tcBorders>
            <w:vAlign w:val="center"/>
          </w:tcPr>
          <w:p>
            <w:pPr>
              <w:rPr>
                <w:color w:val="000000"/>
                <w:sz w:val="15"/>
                <w:szCs w:val="15"/>
              </w:rPr>
            </w:pPr>
          </w:p>
        </w:tc>
        <w:tc>
          <w:tcPr>
            <w:tcW w:w="98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其他资金</w:t>
            </w:r>
          </w:p>
        </w:tc>
        <w:tc>
          <w:tcPr>
            <w:tcW w:w="583" w:type="pct"/>
            <w:gridSpan w:val="2"/>
            <w:tcBorders>
              <w:top w:val="nil"/>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　</w:t>
            </w:r>
          </w:p>
        </w:tc>
        <w:tc>
          <w:tcPr>
            <w:tcW w:w="580"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c>
          <w:tcPr>
            <w:tcW w:w="58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c>
          <w:tcPr>
            <w:tcW w:w="857" w:type="pct"/>
            <w:gridSpan w:val="3"/>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w:t>
            </w:r>
          </w:p>
        </w:tc>
        <w:tc>
          <w:tcPr>
            <w:tcW w:w="394"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c>
          <w:tcPr>
            <w:tcW w:w="359" w:type="pct"/>
            <w:tcBorders>
              <w:top w:val="nil"/>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w:t>
            </w:r>
          </w:p>
        </w:tc>
      </w:tr>
      <w:tr>
        <w:tblPrEx>
          <w:tblCellMar>
            <w:top w:w="0" w:type="dxa"/>
            <w:left w:w="108" w:type="dxa"/>
            <w:bottom w:w="0" w:type="dxa"/>
            <w:right w:w="108" w:type="dxa"/>
          </w:tblCellMar>
        </w:tblPrEx>
        <w:trPr>
          <w:trHeight w:val="288" w:hRule="atLeast"/>
        </w:trPr>
        <w:tc>
          <w:tcPr>
            <w:tcW w:w="329" w:type="pct"/>
            <w:vMerge w:val="restart"/>
            <w:tcBorders>
              <w:top w:val="nil"/>
              <w:left w:val="single" w:color="auto" w:sz="8" w:space="0"/>
              <w:bottom w:val="single" w:color="000000" w:sz="8" w:space="0"/>
              <w:right w:val="single" w:color="auto" w:sz="8" w:space="0"/>
            </w:tcBorders>
            <w:vAlign w:val="center"/>
          </w:tcPr>
          <w:p>
            <w:pPr>
              <w:jc w:val="center"/>
              <w:rPr>
                <w:color w:val="000000"/>
                <w:sz w:val="15"/>
                <w:szCs w:val="15"/>
              </w:rPr>
            </w:pPr>
            <w:r>
              <w:rPr>
                <w:rFonts w:hint="eastAsia"/>
                <w:color w:val="000000"/>
                <w:sz w:val="15"/>
                <w:szCs w:val="15"/>
              </w:rPr>
              <w:t>年度总体目标</w:t>
            </w:r>
          </w:p>
        </w:tc>
        <w:tc>
          <w:tcPr>
            <w:tcW w:w="2479" w:type="pct"/>
            <w:gridSpan w:val="6"/>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预期目标</w:t>
            </w:r>
          </w:p>
        </w:tc>
        <w:tc>
          <w:tcPr>
            <w:tcW w:w="2192" w:type="pct"/>
            <w:gridSpan w:val="7"/>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实际完成情况</w:t>
            </w:r>
          </w:p>
        </w:tc>
      </w:tr>
      <w:tr>
        <w:tblPrEx>
          <w:tblCellMar>
            <w:top w:w="0" w:type="dxa"/>
            <w:left w:w="108" w:type="dxa"/>
            <w:bottom w:w="0" w:type="dxa"/>
            <w:right w:w="108" w:type="dxa"/>
          </w:tblCellMar>
        </w:tblPrEx>
        <w:trPr>
          <w:trHeight w:val="1900"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2479" w:type="pct"/>
            <w:gridSpan w:val="6"/>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1完成全区各盟市特种设备检验检测。</w:t>
            </w:r>
            <w:r>
              <w:rPr>
                <w:rFonts w:hint="eastAsia"/>
                <w:color w:val="000000"/>
                <w:sz w:val="15"/>
                <w:szCs w:val="15"/>
              </w:rPr>
              <w:br w:type="textWrapping"/>
            </w:r>
            <w:r>
              <w:rPr>
                <w:rFonts w:hint="eastAsia"/>
                <w:color w:val="000000"/>
                <w:sz w:val="15"/>
                <w:szCs w:val="15"/>
              </w:rPr>
              <w:t>2保证特种设备安全运行。</w:t>
            </w:r>
            <w:r>
              <w:rPr>
                <w:rFonts w:hint="eastAsia"/>
                <w:color w:val="000000"/>
                <w:sz w:val="15"/>
                <w:szCs w:val="15"/>
              </w:rPr>
              <w:br w:type="textWrapping"/>
            </w:r>
            <w:r>
              <w:rPr>
                <w:rFonts w:hint="eastAsia"/>
                <w:color w:val="000000"/>
                <w:sz w:val="15"/>
                <w:szCs w:val="15"/>
              </w:rPr>
              <w:t>3技术支撑特种设备的安全监察，防止和减少事故发生，保障人民群众生命和财产安全。</w:t>
            </w:r>
            <w:r>
              <w:rPr>
                <w:rFonts w:hint="eastAsia"/>
                <w:color w:val="000000"/>
                <w:sz w:val="15"/>
                <w:szCs w:val="15"/>
              </w:rPr>
              <w:br w:type="textWrapping"/>
            </w:r>
            <w:r>
              <w:rPr>
                <w:rFonts w:hint="eastAsia"/>
                <w:color w:val="000000"/>
                <w:sz w:val="15"/>
                <w:szCs w:val="15"/>
              </w:rPr>
              <w:t>4提高特种设备检验人员操作技能，促进特种设备安全运行。</w:t>
            </w:r>
          </w:p>
        </w:tc>
        <w:tc>
          <w:tcPr>
            <w:tcW w:w="2192" w:type="pct"/>
            <w:gridSpan w:val="7"/>
            <w:tcBorders>
              <w:top w:val="single" w:color="auto" w:sz="8" w:space="0"/>
              <w:left w:val="nil"/>
              <w:bottom w:val="nil"/>
              <w:right w:val="single" w:color="000000" w:sz="8" w:space="0"/>
            </w:tcBorders>
            <w:vAlign w:val="center"/>
          </w:tcPr>
          <w:p>
            <w:pPr>
              <w:rPr>
                <w:color w:val="000000"/>
                <w:sz w:val="15"/>
                <w:szCs w:val="15"/>
              </w:rPr>
            </w:pPr>
            <w:r>
              <w:rPr>
                <w:rFonts w:hint="eastAsia"/>
                <w:color w:val="000000"/>
                <w:sz w:val="15"/>
                <w:szCs w:val="15"/>
              </w:rPr>
              <w:t>完成57.46多万台/套（个、只）特种设备的检测任务。通过不断提升技术服务水平，保证了特种设备安全运行。</w:t>
            </w:r>
            <w:r>
              <w:rPr>
                <w:rFonts w:hint="eastAsia"/>
                <w:color w:val="000000"/>
                <w:sz w:val="15"/>
                <w:szCs w:val="15"/>
              </w:rPr>
              <w:br w:type="textWrapping"/>
            </w:r>
            <w:r>
              <w:rPr>
                <w:rFonts w:hint="eastAsia"/>
                <w:color w:val="000000"/>
                <w:sz w:val="15"/>
                <w:szCs w:val="15"/>
              </w:rPr>
              <w:t>通过技术支撑特种设备的安全监察，防止和减少事故发生，保障人民群众生命和财产安全。</w:t>
            </w:r>
            <w:r>
              <w:rPr>
                <w:rFonts w:hint="eastAsia"/>
                <w:color w:val="000000"/>
                <w:sz w:val="15"/>
                <w:szCs w:val="15"/>
              </w:rPr>
              <w:br w:type="textWrapping"/>
            </w:r>
            <w:r>
              <w:rPr>
                <w:rFonts w:hint="eastAsia"/>
                <w:color w:val="000000"/>
                <w:sz w:val="15"/>
                <w:szCs w:val="15"/>
              </w:rPr>
              <w:t>对人员进行了专项培训，提高特种设备检验人员操作技能，促进特种设备安全运行。</w:t>
            </w:r>
          </w:p>
          <w:p>
            <w:pPr>
              <w:rPr>
                <w:color w:val="000000"/>
                <w:sz w:val="15"/>
                <w:szCs w:val="15"/>
              </w:rPr>
            </w:pPr>
            <w:r>
              <w:rPr>
                <w:rFonts w:hint="eastAsia"/>
                <w:color w:val="000000"/>
                <w:sz w:val="15"/>
                <w:szCs w:val="15"/>
              </w:rPr>
              <w:t>全年对全区锅炉设计文件鉴定和节能审查50套，特种设备作业人员考核发证15329人，检测锅炉水样、金属材料、煤灰分析5415批次。全年出具各类检验检测报告38万余份。</w:t>
            </w:r>
          </w:p>
        </w:tc>
      </w:tr>
      <w:tr>
        <w:tblPrEx>
          <w:tblCellMar>
            <w:top w:w="0" w:type="dxa"/>
            <w:left w:w="108" w:type="dxa"/>
            <w:bottom w:w="0" w:type="dxa"/>
            <w:right w:w="108" w:type="dxa"/>
          </w:tblCellMar>
        </w:tblPrEx>
        <w:trPr>
          <w:trHeight w:val="288" w:hRule="atLeast"/>
        </w:trPr>
        <w:tc>
          <w:tcPr>
            <w:tcW w:w="329" w:type="pct"/>
            <w:vMerge w:val="restart"/>
            <w:tcBorders>
              <w:top w:val="nil"/>
              <w:left w:val="single" w:color="auto" w:sz="8" w:space="0"/>
              <w:bottom w:val="single" w:color="000000" w:sz="8" w:space="0"/>
              <w:right w:val="single" w:color="auto" w:sz="8" w:space="0"/>
            </w:tcBorders>
            <w:vAlign w:val="center"/>
          </w:tcPr>
          <w:p>
            <w:pPr>
              <w:jc w:val="center"/>
              <w:rPr>
                <w:color w:val="000000"/>
                <w:sz w:val="15"/>
                <w:szCs w:val="15"/>
              </w:rPr>
            </w:pPr>
            <w:r>
              <w:rPr>
                <w:rFonts w:hint="eastAsia"/>
                <w:color w:val="000000"/>
                <w:sz w:val="15"/>
                <w:szCs w:val="15"/>
              </w:rPr>
              <w:t>绩效指标</w:t>
            </w:r>
          </w:p>
        </w:tc>
        <w:tc>
          <w:tcPr>
            <w:tcW w:w="329" w:type="pct"/>
            <w:tcBorders>
              <w:top w:val="single" w:color="auto" w:sz="8" w:space="0"/>
              <w:left w:val="nil"/>
              <w:bottom w:val="nil"/>
              <w:right w:val="single" w:color="auto" w:sz="8" w:space="0"/>
            </w:tcBorders>
            <w:vAlign w:val="center"/>
          </w:tcPr>
          <w:p>
            <w:pPr>
              <w:jc w:val="center"/>
              <w:rPr>
                <w:color w:val="000000"/>
                <w:sz w:val="15"/>
                <w:szCs w:val="15"/>
              </w:rPr>
            </w:pPr>
            <w:r>
              <w:rPr>
                <w:rFonts w:hint="eastAsia"/>
                <w:color w:val="000000"/>
                <w:sz w:val="15"/>
                <w:szCs w:val="15"/>
              </w:rPr>
              <w:t>一级指标</w:t>
            </w:r>
          </w:p>
        </w:tc>
        <w:tc>
          <w:tcPr>
            <w:tcW w:w="488" w:type="pct"/>
            <w:tcBorders>
              <w:top w:val="single" w:color="auto" w:sz="8" w:space="0"/>
              <w:left w:val="nil"/>
              <w:bottom w:val="nil"/>
              <w:right w:val="single" w:color="auto" w:sz="8" w:space="0"/>
            </w:tcBorders>
            <w:vAlign w:val="center"/>
          </w:tcPr>
          <w:p>
            <w:pPr>
              <w:jc w:val="center"/>
              <w:rPr>
                <w:color w:val="000000"/>
                <w:sz w:val="15"/>
                <w:szCs w:val="15"/>
              </w:rPr>
            </w:pPr>
            <w:r>
              <w:rPr>
                <w:rFonts w:hint="eastAsia"/>
                <w:color w:val="000000"/>
                <w:sz w:val="15"/>
                <w:szCs w:val="15"/>
              </w:rPr>
              <w:t>二级指标</w:t>
            </w:r>
          </w:p>
        </w:tc>
        <w:tc>
          <w:tcPr>
            <w:tcW w:w="914" w:type="pct"/>
            <w:gridSpan w:val="2"/>
            <w:tcBorders>
              <w:top w:val="single" w:color="auto" w:sz="8" w:space="0"/>
              <w:left w:val="nil"/>
              <w:bottom w:val="nil"/>
              <w:right w:val="nil"/>
            </w:tcBorders>
            <w:vAlign w:val="center"/>
          </w:tcPr>
          <w:p>
            <w:pPr>
              <w:jc w:val="center"/>
              <w:rPr>
                <w:color w:val="000000"/>
                <w:sz w:val="15"/>
                <w:szCs w:val="15"/>
              </w:rPr>
            </w:pPr>
            <w:r>
              <w:rPr>
                <w:rFonts w:hint="eastAsia"/>
                <w:color w:val="000000"/>
                <w:sz w:val="15"/>
                <w:szCs w:val="15"/>
              </w:rPr>
              <w:t>三级指标</w:t>
            </w:r>
          </w:p>
        </w:tc>
        <w:tc>
          <w:tcPr>
            <w:tcW w:w="748" w:type="pct"/>
            <w:gridSpan w:val="2"/>
            <w:tcBorders>
              <w:top w:val="single" w:color="auto" w:sz="8" w:space="0"/>
              <w:left w:val="single" w:color="auto" w:sz="8" w:space="0"/>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年度指标值</w:t>
            </w:r>
          </w:p>
        </w:tc>
        <w:tc>
          <w:tcPr>
            <w:tcW w:w="795" w:type="pct"/>
            <w:gridSpan w:val="2"/>
            <w:tcBorders>
              <w:top w:val="single" w:color="auto" w:sz="8" w:space="0"/>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实际完成值</w:t>
            </w:r>
          </w:p>
        </w:tc>
        <w:tc>
          <w:tcPr>
            <w:tcW w:w="342" w:type="pct"/>
            <w:tcBorders>
              <w:top w:val="single" w:color="auto" w:sz="8" w:space="0"/>
              <w:left w:val="nil"/>
              <w:bottom w:val="single" w:color="auto" w:sz="4" w:space="0"/>
              <w:right w:val="single" w:color="auto" w:sz="4" w:space="0"/>
            </w:tcBorders>
            <w:vAlign w:val="center"/>
          </w:tcPr>
          <w:p>
            <w:pPr>
              <w:jc w:val="center"/>
              <w:rPr>
                <w:color w:val="000000"/>
                <w:sz w:val="15"/>
                <w:szCs w:val="15"/>
              </w:rPr>
            </w:pPr>
            <w:r>
              <w:rPr>
                <w:rFonts w:hint="eastAsia"/>
                <w:color w:val="000000"/>
                <w:sz w:val="15"/>
                <w:szCs w:val="15"/>
              </w:rPr>
              <w:t>分值</w:t>
            </w:r>
          </w:p>
        </w:tc>
        <w:tc>
          <w:tcPr>
            <w:tcW w:w="357" w:type="pct"/>
            <w:gridSpan w:val="2"/>
            <w:tcBorders>
              <w:top w:val="single" w:color="auto" w:sz="8" w:space="0"/>
              <w:left w:val="single" w:color="auto" w:sz="8" w:space="0"/>
              <w:bottom w:val="single" w:color="auto" w:sz="4" w:space="0"/>
              <w:right w:val="single" w:color="000000" w:sz="8" w:space="0"/>
            </w:tcBorders>
            <w:vAlign w:val="center"/>
          </w:tcPr>
          <w:p>
            <w:pPr>
              <w:jc w:val="center"/>
              <w:rPr>
                <w:color w:val="000000"/>
                <w:sz w:val="15"/>
                <w:szCs w:val="15"/>
              </w:rPr>
            </w:pPr>
            <w:r>
              <w:rPr>
                <w:rFonts w:hint="eastAsia"/>
                <w:color w:val="000000"/>
                <w:sz w:val="15"/>
                <w:szCs w:val="15"/>
              </w:rPr>
              <w:t>得分</w:t>
            </w:r>
          </w:p>
        </w:tc>
        <w:tc>
          <w:tcPr>
            <w:tcW w:w="698" w:type="pct"/>
            <w:gridSpan w:val="2"/>
            <w:tcBorders>
              <w:top w:val="single" w:color="auto" w:sz="8" w:space="0"/>
              <w:left w:val="nil"/>
              <w:bottom w:val="nil"/>
              <w:right w:val="single" w:color="000000" w:sz="8" w:space="0"/>
            </w:tcBorders>
            <w:vAlign w:val="center"/>
          </w:tcPr>
          <w:p>
            <w:pPr>
              <w:jc w:val="center"/>
              <w:rPr>
                <w:color w:val="000000"/>
                <w:sz w:val="15"/>
                <w:szCs w:val="15"/>
              </w:rPr>
            </w:pPr>
            <w:r>
              <w:rPr>
                <w:rFonts w:hint="eastAsia"/>
                <w:color w:val="000000"/>
                <w:sz w:val="15"/>
                <w:szCs w:val="15"/>
              </w:rPr>
              <w:t>偏差原因分析及改进措施</w:t>
            </w:r>
          </w:p>
        </w:tc>
      </w:tr>
      <w:tr>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329" w:type="pct"/>
            <w:vMerge w:val="restart"/>
            <w:tcBorders>
              <w:top w:val="single" w:color="auto" w:sz="8" w:space="0"/>
              <w:left w:val="single" w:color="auto" w:sz="8" w:space="0"/>
              <w:bottom w:val="nil"/>
              <w:right w:val="single" w:color="auto" w:sz="8" w:space="0"/>
            </w:tcBorders>
            <w:vAlign w:val="center"/>
          </w:tcPr>
          <w:p>
            <w:pPr>
              <w:jc w:val="center"/>
              <w:rPr>
                <w:color w:val="000000"/>
                <w:sz w:val="15"/>
                <w:szCs w:val="15"/>
              </w:rPr>
            </w:pPr>
            <w:r>
              <w:rPr>
                <w:rFonts w:hint="eastAsia"/>
                <w:color w:val="000000"/>
                <w:sz w:val="15"/>
                <w:szCs w:val="15"/>
              </w:rPr>
              <w:t>产出指标</w:t>
            </w:r>
          </w:p>
        </w:tc>
        <w:tc>
          <w:tcPr>
            <w:tcW w:w="488" w:type="pct"/>
            <w:vMerge w:val="restart"/>
            <w:tcBorders>
              <w:top w:val="single" w:color="auto" w:sz="8" w:space="0"/>
              <w:left w:val="nil"/>
              <w:bottom w:val="nil"/>
              <w:right w:val="single" w:color="auto" w:sz="8" w:space="0"/>
            </w:tcBorders>
            <w:vAlign w:val="center"/>
          </w:tcPr>
          <w:p>
            <w:pPr>
              <w:jc w:val="center"/>
              <w:rPr>
                <w:color w:val="000000"/>
                <w:sz w:val="15"/>
                <w:szCs w:val="15"/>
              </w:rPr>
            </w:pPr>
            <w:r>
              <w:rPr>
                <w:rFonts w:hint="eastAsia"/>
                <w:color w:val="000000"/>
                <w:sz w:val="15"/>
                <w:szCs w:val="15"/>
              </w:rPr>
              <w:t>数量指标</w:t>
            </w:r>
          </w:p>
        </w:tc>
        <w:tc>
          <w:tcPr>
            <w:tcW w:w="914" w:type="pct"/>
            <w:gridSpan w:val="2"/>
            <w:tcBorders>
              <w:top w:val="single" w:color="auto" w:sz="8" w:space="0"/>
              <w:left w:val="nil"/>
              <w:bottom w:val="single" w:color="auto" w:sz="8" w:space="0"/>
              <w:right w:val="nil"/>
            </w:tcBorders>
            <w:vAlign w:val="center"/>
          </w:tcPr>
          <w:p>
            <w:pPr>
              <w:rPr>
                <w:color w:val="000000"/>
                <w:sz w:val="15"/>
                <w:szCs w:val="15"/>
              </w:rPr>
            </w:pPr>
            <w:r>
              <w:rPr>
                <w:rFonts w:hint="eastAsia"/>
                <w:color w:val="000000"/>
                <w:sz w:val="15"/>
                <w:szCs w:val="15"/>
              </w:rPr>
              <w:t>指标1：检验数量</w:t>
            </w:r>
          </w:p>
        </w:tc>
        <w:tc>
          <w:tcPr>
            <w:tcW w:w="748" w:type="pct"/>
            <w:gridSpan w:val="2"/>
            <w:tcBorders>
              <w:top w:val="nil"/>
              <w:left w:val="single" w:color="auto" w:sz="8" w:space="0"/>
              <w:bottom w:val="single" w:color="auto" w:sz="8" w:space="0"/>
              <w:right w:val="single" w:color="auto" w:sz="8" w:space="0"/>
            </w:tcBorders>
            <w:vAlign w:val="center"/>
          </w:tcPr>
          <w:p>
            <w:pPr>
              <w:rPr>
                <w:sz w:val="15"/>
                <w:szCs w:val="15"/>
              </w:rPr>
            </w:pPr>
            <w:r>
              <w:rPr>
                <w:rFonts w:hint="eastAsia"/>
                <w:sz w:val="15"/>
                <w:szCs w:val="15"/>
              </w:rPr>
              <w:t>≥50万台/套</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57.46台/套</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7.5</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7.5</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r>
      <w:tr>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0" w:type="auto"/>
            <w:vMerge w:val="continue"/>
            <w:tcBorders>
              <w:top w:val="single" w:color="auto" w:sz="8" w:space="0"/>
              <w:left w:val="single" w:color="auto" w:sz="8" w:space="0"/>
              <w:bottom w:val="nil"/>
              <w:right w:val="single" w:color="auto" w:sz="8" w:space="0"/>
            </w:tcBorders>
            <w:vAlign w:val="center"/>
          </w:tcPr>
          <w:p>
            <w:pPr>
              <w:rPr>
                <w:color w:val="000000"/>
                <w:sz w:val="15"/>
                <w:szCs w:val="15"/>
              </w:rPr>
            </w:pPr>
          </w:p>
        </w:tc>
        <w:tc>
          <w:tcPr>
            <w:tcW w:w="0" w:type="auto"/>
            <w:vMerge w:val="continue"/>
            <w:tcBorders>
              <w:top w:val="single" w:color="auto" w:sz="8" w:space="0"/>
              <w:left w:val="nil"/>
              <w:bottom w:val="nil"/>
              <w:right w:val="single" w:color="auto" w:sz="8" w:space="0"/>
            </w:tcBorders>
            <w:vAlign w:val="center"/>
          </w:tcPr>
          <w:p>
            <w:pPr>
              <w:rPr>
                <w:color w:val="000000"/>
                <w:sz w:val="15"/>
                <w:szCs w:val="15"/>
              </w:rPr>
            </w:pP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指标2：检验报告数量</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≥30万份</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38份</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7.5</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7.5</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p>
        </w:tc>
      </w:tr>
      <w:tr>
        <w:tblPrEx>
          <w:tblCellMar>
            <w:top w:w="0" w:type="dxa"/>
            <w:left w:w="108" w:type="dxa"/>
            <w:bottom w:w="0" w:type="dxa"/>
            <w:right w:w="108" w:type="dxa"/>
          </w:tblCellMar>
        </w:tblPrEx>
        <w:trPr>
          <w:trHeight w:val="436"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0" w:type="auto"/>
            <w:vMerge w:val="continue"/>
            <w:tcBorders>
              <w:top w:val="single" w:color="auto" w:sz="8" w:space="0"/>
              <w:left w:val="single" w:color="auto" w:sz="8" w:space="0"/>
              <w:bottom w:val="nil"/>
              <w:right w:val="single" w:color="auto" w:sz="8" w:space="0"/>
            </w:tcBorders>
            <w:vAlign w:val="center"/>
          </w:tcPr>
          <w:p>
            <w:pPr>
              <w:rPr>
                <w:color w:val="000000"/>
                <w:sz w:val="15"/>
                <w:szCs w:val="15"/>
              </w:rPr>
            </w:pPr>
          </w:p>
        </w:tc>
        <w:tc>
          <w:tcPr>
            <w:tcW w:w="488" w:type="pct"/>
            <w:vMerge w:val="restart"/>
            <w:tcBorders>
              <w:top w:val="single" w:color="auto" w:sz="8" w:space="0"/>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质量指标</w:t>
            </w: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指标1：检验报告合格率</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＝100%</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100%</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7.5</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7.5</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r>
      <w:tr>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0" w:type="auto"/>
            <w:vMerge w:val="continue"/>
            <w:tcBorders>
              <w:top w:val="single" w:color="auto" w:sz="8" w:space="0"/>
              <w:left w:val="single" w:color="auto" w:sz="8" w:space="0"/>
              <w:bottom w:val="nil"/>
              <w:right w:val="single" w:color="auto" w:sz="8" w:space="0"/>
            </w:tcBorders>
            <w:vAlign w:val="center"/>
          </w:tcPr>
          <w:p>
            <w:pPr>
              <w:rPr>
                <w:color w:val="000000"/>
                <w:sz w:val="15"/>
                <w:szCs w:val="15"/>
              </w:rPr>
            </w:pPr>
          </w:p>
        </w:tc>
        <w:tc>
          <w:tcPr>
            <w:tcW w:w="0" w:type="auto"/>
            <w:vMerge w:val="continue"/>
            <w:tcBorders>
              <w:top w:val="single" w:color="auto" w:sz="8" w:space="0"/>
              <w:left w:val="nil"/>
              <w:bottom w:val="single" w:color="auto" w:sz="8" w:space="0"/>
              <w:right w:val="single" w:color="auto" w:sz="8" w:space="0"/>
            </w:tcBorders>
            <w:vAlign w:val="center"/>
          </w:tcPr>
          <w:p>
            <w:pPr>
              <w:rPr>
                <w:color w:val="000000"/>
                <w:sz w:val="15"/>
                <w:szCs w:val="15"/>
              </w:rPr>
            </w:pP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指标2：检测完成率</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=100%</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100%</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7.5</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7.5</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p>
        </w:tc>
      </w:tr>
      <w:tr>
        <w:tblPrEx>
          <w:tblCellMar>
            <w:top w:w="0" w:type="dxa"/>
            <w:left w:w="108" w:type="dxa"/>
            <w:bottom w:w="0" w:type="dxa"/>
            <w:right w:w="108" w:type="dxa"/>
          </w:tblCellMar>
        </w:tblPrEx>
        <w:trPr>
          <w:trHeight w:val="288"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0" w:type="auto"/>
            <w:vMerge w:val="continue"/>
            <w:tcBorders>
              <w:top w:val="single" w:color="auto" w:sz="8" w:space="0"/>
              <w:left w:val="single" w:color="auto" w:sz="8" w:space="0"/>
              <w:bottom w:val="nil"/>
              <w:right w:val="single" w:color="auto" w:sz="8" w:space="0"/>
            </w:tcBorders>
            <w:vAlign w:val="center"/>
          </w:tcPr>
          <w:p>
            <w:pPr>
              <w:rPr>
                <w:color w:val="000000"/>
                <w:sz w:val="15"/>
                <w:szCs w:val="15"/>
              </w:rPr>
            </w:pPr>
          </w:p>
        </w:tc>
        <w:tc>
          <w:tcPr>
            <w:tcW w:w="488" w:type="pct"/>
            <w:vMerge w:val="restart"/>
            <w:tcBorders>
              <w:top w:val="single" w:color="auto" w:sz="8" w:space="0"/>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时效指标</w:t>
            </w: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指标1：年度检查任务按时完成率</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＝100%</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100%</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5</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5</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r>
      <w:tr>
        <w:tblPrEx>
          <w:tblCellMar>
            <w:top w:w="0" w:type="dxa"/>
            <w:left w:w="108" w:type="dxa"/>
            <w:bottom w:w="0" w:type="dxa"/>
            <w:right w:w="108" w:type="dxa"/>
          </w:tblCellMar>
        </w:tblPrEx>
        <w:trPr>
          <w:trHeight w:val="48"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0" w:type="auto"/>
            <w:vMerge w:val="continue"/>
            <w:tcBorders>
              <w:top w:val="single" w:color="auto" w:sz="8" w:space="0"/>
              <w:left w:val="single" w:color="auto" w:sz="8" w:space="0"/>
              <w:bottom w:val="nil"/>
              <w:right w:val="single" w:color="auto" w:sz="8" w:space="0"/>
            </w:tcBorders>
            <w:vAlign w:val="center"/>
          </w:tcPr>
          <w:p>
            <w:pPr>
              <w:rPr>
                <w:color w:val="000000"/>
                <w:sz w:val="15"/>
                <w:szCs w:val="15"/>
              </w:rPr>
            </w:pPr>
          </w:p>
        </w:tc>
        <w:tc>
          <w:tcPr>
            <w:tcW w:w="0" w:type="auto"/>
            <w:vMerge w:val="continue"/>
            <w:tcBorders>
              <w:top w:val="single" w:color="auto" w:sz="8" w:space="0"/>
              <w:left w:val="nil"/>
              <w:bottom w:val="single" w:color="auto" w:sz="8" w:space="0"/>
              <w:right w:val="single" w:color="auto" w:sz="8" w:space="0"/>
            </w:tcBorders>
            <w:vAlign w:val="center"/>
          </w:tcPr>
          <w:p>
            <w:pPr>
              <w:rPr>
                <w:color w:val="000000"/>
                <w:sz w:val="15"/>
                <w:szCs w:val="15"/>
              </w:rPr>
            </w:pP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指标2：项目完成时间</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2022年12月31日</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2022年12月31日</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5</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5</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p>
        </w:tc>
      </w:tr>
      <w:tr>
        <w:tblPrEx>
          <w:tblCellMar>
            <w:top w:w="0" w:type="dxa"/>
            <w:left w:w="108" w:type="dxa"/>
            <w:bottom w:w="0" w:type="dxa"/>
            <w:right w:w="108" w:type="dxa"/>
          </w:tblCellMar>
        </w:tblPrEx>
        <w:trPr>
          <w:trHeight w:val="48"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0" w:type="auto"/>
            <w:vMerge w:val="continue"/>
            <w:tcBorders>
              <w:top w:val="single" w:color="auto" w:sz="8" w:space="0"/>
              <w:left w:val="single" w:color="auto" w:sz="8" w:space="0"/>
              <w:bottom w:val="nil"/>
              <w:right w:val="single" w:color="auto" w:sz="8" w:space="0"/>
            </w:tcBorders>
            <w:vAlign w:val="center"/>
          </w:tcPr>
          <w:p>
            <w:pPr>
              <w:rPr>
                <w:color w:val="000000"/>
                <w:sz w:val="15"/>
                <w:szCs w:val="15"/>
              </w:rPr>
            </w:pPr>
          </w:p>
        </w:tc>
        <w:tc>
          <w:tcPr>
            <w:tcW w:w="488" w:type="pct"/>
            <w:vMerge w:val="restart"/>
            <w:tcBorders>
              <w:top w:val="nil"/>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成本指标</w:t>
            </w: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指标1：检验成本</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≤86%</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95.32%</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5</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0</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r>
      <w:tr>
        <w:tblPrEx>
          <w:tblCellMar>
            <w:top w:w="0" w:type="dxa"/>
            <w:left w:w="108" w:type="dxa"/>
            <w:bottom w:w="0" w:type="dxa"/>
            <w:right w:w="108" w:type="dxa"/>
          </w:tblCellMar>
        </w:tblPrEx>
        <w:trPr>
          <w:trHeight w:val="48"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0" w:type="auto"/>
            <w:vMerge w:val="continue"/>
            <w:tcBorders>
              <w:top w:val="single" w:color="auto" w:sz="8" w:space="0"/>
              <w:left w:val="single" w:color="auto" w:sz="8" w:space="0"/>
              <w:bottom w:val="nil"/>
              <w:right w:val="single" w:color="auto" w:sz="8" w:space="0"/>
            </w:tcBorders>
            <w:vAlign w:val="center"/>
          </w:tcPr>
          <w:p>
            <w:pPr>
              <w:rPr>
                <w:color w:val="000000"/>
                <w:sz w:val="15"/>
                <w:szCs w:val="15"/>
              </w:rPr>
            </w:pPr>
          </w:p>
        </w:tc>
        <w:tc>
          <w:tcPr>
            <w:tcW w:w="0" w:type="auto"/>
            <w:vMerge w:val="continue"/>
            <w:tcBorders>
              <w:top w:val="nil"/>
              <w:left w:val="nil"/>
              <w:bottom w:val="single" w:color="auto" w:sz="8" w:space="0"/>
              <w:right w:val="single" w:color="auto" w:sz="8" w:space="0"/>
            </w:tcBorders>
            <w:vAlign w:val="center"/>
          </w:tcPr>
          <w:p>
            <w:pPr>
              <w:rPr>
                <w:color w:val="000000"/>
                <w:sz w:val="15"/>
                <w:szCs w:val="15"/>
              </w:rPr>
            </w:pP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指标2：支出完成率</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≥75%</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100%</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5</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5</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r>
      <w:tr>
        <w:tblPrEx>
          <w:tblCellMar>
            <w:top w:w="0" w:type="dxa"/>
            <w:left w:w="108" w:type="dxa"/>
            <w:bottom w:w="0" w:type="dxa"/>
            <w:right w:w="108" w:type="dxa"/>
          </w:tblCellMar>
        </w:tblPrEx>
        <w:trPr>
          <w:trHeight w:val="504"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329" w:type="pct"/>
            <w:vMerge w:val="restart"/>
            <w:tcBorders>
              <w:top w:val="single" w:color="auto" w:sz="8" w:space="0"/>
              <w:left w:val="single" w:color="auto" w:sz="8" w:space="0"/>
              <w:bottom w:val="single" w:color="000000" w:sz="8" w:space="0"/>
              <w:right w:val="single" w:color="auto" w:sz="8" w:space="0"/>
            </w:tcBorders>
            <w:vAlign w:val="center"/>
          </w:tcPr>
          <w:p>
            <w:pPr>
              <w:jc w:val="center"/>
              <w:rPr>
                <w:color w:val="000000"/>
                <w:sz w:val="15"/>
                <w:szCs w:val="15"/>
              </w:rPr>
            </w:pPr>
            <w:r>
              <w:rPr>
                <w:rFonts w:hint="eastAsia"/>
                <w:color w:val="000000"/>
                <w:sz w:val="15"/>
                <w:szCs w:val="15"/>
              </w:rPr>
              <w:t>效益指标</w:t>
            </w:r>
          </w:p>
        </w:tc>
        <w:tc>
          <w:tcPr>
            <w:tcW w:w="488" w:type="pct"/>
            <w:tcBorders>
              <w:top w:val="nil"/>
              <w:left w:val="nil"/>
              <w:bottom w:val="nil"/>
              <w:right w:val="single" w:color="auto" w:sz="8" w:space="0"/>
            </w:tcBorders>
            <w:vAlign w:val="center"/>
          </w:tcPr>
          <w:p>
            <w:pPr>
              <w:jc w:val="center"/>
              <w:rPr>
                <w:color w:val="000000"/>
                <w:sz w:val="15"/>
                <w:szCs w:val="15"/>
              </w:rPr>
            </w:pPr>
            <w:r>
              <w:rPr>
                <w:rFonts w:hint="eastAsia"/>
                <w:color w:val="000000"/>
                <w:sz w:val="15"/>
                <w:szCs w:val="15"/>
              </w:rPr>
              <w:t>社会效益</w:t>
            </w: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指标1：产品质量合格率</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≥90%</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92%</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r>
      <w:tr>
        <w:tblPrEx>
          <w:tblCellMar>
            <w:top w:w="0" w:type="dxa"/>
            <w:left w:w="108" w:type="dxa"/>
            <w:bottom w:w="0" w:type="dxa"/>
            <w:right w:w="108" w:type="dxa"/>
          </w:tblCellMar>
        </w:tblPrEx>
        <w:trPr>
          <w:trHeight w:val="396"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0" w:type="auto"/>
            <w:vMerge w:val="continue"/>
            <w:tcBorders>
              <w:top w:val="single" w:color="auto" w:sz="8" w:space="0"/>
              <w:left w:val="single" w:color="auto" w:sz="8" w:space="0"/>
              <w:bottom w:val="single" w:color="000000" w:sz="8" w:space="0"/>
              <w:right w:val="single" w:color="auto" w:sz="8" w:space="0"/>
            </w:tcBorders>
            <w:vAlign w:val="center"/>
          </w:tcPr>
          <w:p>
            <w:pPr>
              <w:rPr>
                <w:color w:val="000000"/>
                <w:sz w:val="15"/>
                <w:szCs w:val="15"/>
              </w:rPr>
            </w:pPr>
          </w:p>
        </w:tc>
        <w:tc>
          <w:tcPr>
            <w:tcW w:w="488" w:type="pct"/>
            <w:tcBorders>
              <w:top w:val="single" w:color="auto" w:sz="8" w:space="0"/>
              <w:left w:val="single" w:color="auto" w:sz="8" w:space="0"/>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经济效益指标</w:t>
            </w: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指标1：效益增长率</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≥25%</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25%</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r>
      <w:tr>
        <w:tblPrEx>
          <w:tblCellMar>
            <w:top w:w="0" w:type="dxa"/>
            <w:left w:w="108" w:type="dxa"/>
            <w:bottom w:w="0" w:type="dxa"/>
            <w:right w:w="108" w:type="dxa"/>
          </w:tblCellMar>
        </w:tblPrEx>
        <w:trPr>
          <w:trHeight w:val="396"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0" w:type="auto"/>
            <w:vMerge w:val="continue"/>
            <w:tcBorders>
              <w:top w:val="single" w:color="auto" w:sz="8" w:space="0"/>
              <w:left w:val="single" w:color="auto" w:sz="8" w:space="0"/>
              <w:bottom w:val="single" w:color="000000" w:sz="8" w:space="0"/>
              <w:right w:val="single" w:color="auto" w:sz="8" w:space="0"/>
            </w:tcBorders>
            <w:vAlign w:val="center"/>
          </w:tcPr>
          <w:p>
            <w:pPr>
              <w:rPr>
                <w:color w:val="000000"/>
                <w:sz w:val="15"/>
                <w:szCs w:val="15"/>
              </w:rPr>
            </w:pPr>
          </w:p>
        </w:tc>
        <w:tc>
          <w:tcPr>
            <w:tcW w:w="488" w:type="pct"/>
            <w:tcBorders>
              <w:top w:val="nil"/>
              <w:left w:val="nil"/>
              <w:bottom w:val="nil"/>
              <w:right w:val="single" w:color="auto" w:sz="8" w:space="0"/>
            </w:tcBorders>
            <w:vAlign w:val="center"/>
          </w:tcPr>
          <w:p>
            <w:pPr>
              <w:jc w:val="center"/>
              <w:rPr>
                <w:color w:val="000000"/>
                <w:sz w:val="15"/>
                <w:szCs w:val="15"/>
              </w:rPr>
            </w:pPr>
            <w:r>
              <w:rPr>
                <w:rFonts w:hint="eastAsia"/>
                <w:color w:val="000000"/>
                <w:sz w:val="15"/>
                <w:szCs w:val="15"/>
              </w:rPr>
              <w:t>可持续影响指标</w:t>
            </w: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指标1：后处理率</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＝100%</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100%</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r>
      <w:tr>
        <w:tblPrEx>
          <w:tblCellMar>
            <w:top w:w="0" w:type="dxa"/>
            <w:left w:w="108" w:type="dxa"/>
            <w:bottom w:w="0" w:type="dxa"/>
            <w:right w:w="108" w:type="dxa"/>
          </w:tblCellMar>
        </w:tblPrEx>
        <w:trPr>
          <w:trHeight w:val="396" w:hRule="atLeast"/>
        </w:trPr>
        <w:tc>
          <w:tcPr>
            <w:tcW w:w="0" w:type="auto"/>
            <w:vMerge w:val="continue"/>
            <w:tcBorders>
              <w:top w:val="nil"/>
              <w:left w:val="single" w:color="auto" w:sz="8" w:space="0"/>
              <w:bottom w:val="single" w:color="000000" w:sz="8" w:space="0"/>
              <w:right w:val="single" w:color="auto" w:sz="8" w:space="0"/>
            </w:tcBorders>
            <w:vAlign w:val="center"/>
          </w:tcPr>
          <w:p>
            <w:pPr>
              <w:rPr>
                <w:color w:val="000000"/>
                <w:sz w:val="15"/>
                <w:szCs w:val="15"/>
              </w:rPr>
            </w:pPr>
          </w:p>
        </w:tc>
        <w:tc>
          <w:tcPr>
            <w:tcW w:w="329" w:type="pct"/>
            <w:tcBorders>
              <w:top w:val="nil"/>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满意度</w:t>
            </w:r>
          </w:p>
        </w:tc>
        <w:tc>
          <w:tcPr>
            <w:tcW w:w="488" w:type="pct"/>
            <w:tcBorders>
              <w:top w:val="single" w:color="auto" w:sz="8" w:space="0"/>
              <w:left w:val="nil"/>
              <w:bottom w:val="single" w:color="auto" w:sz="8" w:space="0"/>
              <w:right w:val="single" w:color="auto" w:sz="8" w:space="0"/>
            </w:tcBorders>
            <w:vAlign w:val="center"/>
          </w:tcPr>
          <w:p>
            <w:pPr>
              <w:jc w:val="center"/>
              <w:rPr>
                <w:color w:val="000000"/>
                <w:sz w:val="15"/>
                <w:szCs w:val="15"/>
              </w:rPr>
            </w:pPr>
            <w:r>
              <w:rPr>
                <w:rFonts w:hint="eastAsia"/>
                <w:color w:val="000000"/>
                <w:sz w:val="15"/>
                <w:szCs w:val="15"/>
              </w:rPr>
              <w:t>服务对象满意度指标</w:t>
            </w:r>
          </w:p>
        </w:tc>
        <w:tc>
          <w:tcPr>
            <w:tcW w:w="914" w:type="pct"/>
            <w:gridSpan w:val="2"/>
            <w:tcBorders>
              <w:top w:val="single" w:color="auto" w:sz="8" w:space="0"/>
              <w:left w:val="nil"/>
              <w:bottom w:val="single" w:color="auto" w:sz="8" w:space="0"/>
              <w:right w:val="single" w:color="000000" w:sz="8" w:space="0"/>
            </w:tcBorders>
            <w:vAlign w:val="center"/>
          </w:tcPr>
          <w:p>
            <w:pPr>
              <w:rPr>
                <w:color w:val="000000"/>
                <w:sz w:val="15"/>
                <w:szCs w:val="15"/>
              </w:rPr>
            </w:pPr>
            <w:r>
              <w:rPr>
                <w:rFonts w:hint="eastAsia"/>
                <w:color w:val="000000"/>
                <w:sz w:val="15"/>
                <w:szCs w:val="15"/>
              </w:rPr>
              <w:t>指标1：公众满意度</w:t>
            </w:r>
          </w:p>
        </w:tc>
        <w:tc>
          <w:tcPr>
            <w:tcW w:w="748"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≥98%</w:t>
            </w:r>
          </w:p>
        </w:tc>
        <w:tc>
          <w:tcPr>
            <w:tcW w:w="795" w:type="pct"/>
            <w:gridSpan w:val="2"/>
            <w:tcBorders>
              <w:top w:val="nil"/>
              <w:left w:val="nil"/>
              <w:bottom w:val="single" w:color="auto" w:sz="8" w:space="0"/>
              <w:right w:val="single" w:color="auto" w:sz="8" w:space="0"/>
            </w:tcBorders>
            <w:vAlign w:val="center"/>
          </w:tcPr>
          <w:p>
            <w:pPr>
              <w:rPr>
                <w:color w:val="000000"/>
                <w:sz w:val="15"/>
                <w:szCs w:val="15"/>
              </w:rPr>
            </w:pPr>
            <w:r>
              <w:rPr>
                <w:rFonts w:hint="eastAsia"/>
                <w:color w:val="000000"/>
                <w:sz w:val="15"/>
                <w:szCs w:val="15"/>
              </w:rPr>
              <w:t>98%</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r>
      <w:tr>
        <w:tblPrEx>
          <w:tblCellMar>
            <w:top w:w="0" w:type="dxa"/>
            <w:left w:w="108" w:type="dxa"/>
            <w:bottom w:w="0" w:type="dxa"/>
            <w:right w:w="108" w:type="dxa"/>
          </w:tblCellMar>
        </w:tblPrEx>
        <w:trPr>
          <w:trHeight w:val="288" w:hRule="atLeast"/>
        </w:trPr>
        <w:tc>
          <w:tcPr>
            <w:tcW w:w="3603" w:type="pct"/>
            <w:gridSpan w:val="9"/>
            <w:tcBorders>
              <w:top w:val="single" w:color="auto" w:sz="8" w:space="0"/>
              <w:left w:val="single" w:color="auto" w:sz="8" w:space="0"/>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总分</w:t>
            </w:r>
          </w:p>
        </w:tc>
        <w:tc>
          <w:tcPr>
            <w:tcW w:w="342" w:type="pct"/>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100</w:t>
            </w:r>
          </w:p>
        </w:tc>
        <w:tc>
          <w:tcPr>
            <w:tcW w:w="357"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95.00</w:t>
            </w:r>
          </w:p>
        </w:tc>
        <w:tc>
          <w:tcPr>
            <w:tcW w:w="698" w:type="pct"/>
            <w:gridSpan w:val="2"/>
            <w:tcBorders>
              <w:top w:val="single" w:color="auto" w:sz="8" w:space="0"/>
              <w:left w:val="nil"/>
              <w:bottom w:val="single" w:color="auto" w:sz="8" w:space="0"/>
              <w:right w:val="single" w:color="000000" w:sz="8" w:space="0"/>
            </w:tcBorders>
            <w:vAlign w:val="center"/>
          </w:tcPr>
          <w:p>
            <w:pPr>
              <w:jc w:val="center"/>
              <w:rPr>
                <w:color w:val="000000"/>
                <w:sz w:val="15"/>
                <w:szCs w:val="15"/>
              </w:rPr>
            </w:pPr>
            <w:r>
              <w:rPr>
                <w:rFonts w:hint="eastAsia"/>
                <w:color w:val="000000"/>
                <w:sz w:val="15"/>
                <w:szCs w:val="15"/>
              </w:rPr>
              <w:t>　</w:t>
            </w:r>
          </w:p>
        </w:tc>
      </w:tr>
    </w:tbl>
    <w:p>
      <w:pPr>
        <w:rPr>
          <w:color w:val="0000FF"/>
          <w:sz w:val="2"/>
          <w:szCs w:val="2"/>
        </w:rPr>
      </w:pPr>
      <w:r>
        <w:rPr>
          <w:color w:val="0000FF"/>
          <w:sz w:val="2"/>
          <w:szCs w:val="2"/>
        </w:rPr>
        <w:br w:type="page"/>
      </w:r>
    </w:p>
    <w:tbl>
      <w:tblPr>
        <w:tblStyle w:val="9"/>
        <w:tblW w:w="8346" w:type="dxa"/>
        <w:jc w:val="center"/>
        <w:tblLayout w:type="autofit"/>
        <w:tblCellMar>
          <w:top w:w="0" w:type="dxa"/>
          <w:left w:w="0" w:type="dxa"/>
          <w:bottom w:w="0" w:type="dxa"/>
          <w:right w:w="0" w:type="dxa"/>
        </w:tblCellMar>
      </w:tblPr>
      <w:tblGrid>
        <w:gridCol w:w="846"/>
        <w:gridCol w:w="240"/>
        <w:gridCol w:w="682"/>
        <w:gridCol w:w="10"/>
        <w:gridCol w:w="837"/>
        <w:gridCol w:w="197"/>
        <w:gridCol w:w="253"/>
        <w:gridCol w:w="710"/>
        <w:gridCol w:w="240"/>
        <w:gridCol w:w="963"/>
        <w:gridCol w:w="1107"/>
        <w:gridCol w:w="144"/>
        <w:gridCol w:w="96"/>
        <w:gridCol w:w="540"/>
        <w:gridCol w:w="11"/>
        <w:gridCol w:w="271"/>
        <w:gridCol w:w="294"/>
        <w:gridCol w:w="11"/>
        <w:gridCol w:w="381"/>
        <w:gridCol w:w="504"/>
        <w:gridCol w:w="9"/>
      </w:tblGrid>
      <w:tr>
        <w:tblPrEx>
          <w:tblCellMar>
            <w:top w:w="0" w:type="dxa"/>
            <w:left w:w="0" w:type="dxa"/>
            <w:bottom w:w="0" w:type="dxa"/>
            <w:right w:w="0" w:type="dxa"/>
          </w:tblCellMar>
        </w:tblPrEx>
        <w:trPr>
          <w:jc w:val="center"/>
        </w:trPr>
        <w:tc>
          <w:tcPr>
            <w:tcW w:w="8346" w:type="dxa"/>
            <w:gridSpan w:val="21"/>
            <w:tcMar>
              <w:top w:w="0" w:type="dxa"/>
              <w:left w:w="108" w:type="dxa"/>
              <w:bottom w:w="0" w:type="dxa"/>
              <w:right w:w="108" w:type="dxa"/>
            </w:tcMar>
          </w:tcPr>
          <w:p>
            <w:pPr>
              <w:spacing w:before="100" w:beforeAutospacing="1" w:after="100" w:afterAutospacing="1"/>
              <w:jc w:val="center"/>
              <w:rPr>
                <w:rFonts w:cs="Times New Roman"/>
              </w:rPr>
            </w:pPr>
            <w:r>
              <w:rPr>
                <w:rFonts w:hint="eastAsia" w:ascii="方正小标宋简体" w:eastAsia="方正小标宋简体" w:cs="Times New Roman"/>
                <w:spacing w:val="20"/>
                <w:sz w:val="44"/>
                <w:szCs w:val="44"/>
              </w:rPr>
              <w:t>项目支出绩效自评表</w:t>
            </w:r>
          </w:p>
        </w:tc>
      </w:tr>
      <w:tr>
        <w:tblPrEx>
          <w:tblCellMar>
            <w:top w:w="0" w:type="dxa"/>
            <w:left w:w="0" w:type="dxa"/>
            <w:bottom w:w="0" w:type="dxa"/>
            <w:right w:w="0" w:type="dxa"/>
          </w:tblCellMar>
        </w:tblPrEx>
        <w:trPr>
          <w:jc w:val="center"/>
        </w:trPr>
        <w:tc>
          <w:tcPr>
            <w:tcW w:w="8346" w:type="dxa"/>
            <w:gridSpan w:val="21"/>
            <w:tcMar>
              <w:top w:w="0" w:type="dxa"/>
              <w:left w:w="108" w:type="dxa"/>
              <w:bottom w:w="0" w:type="dxa"/>
              <w:right w:w="108" w:type="dxa"/>
            </w:tcMar>
          </w:tcPr>
          <w:p>
            <w:pPr>
              <w:spacing w:before="100" w:beforeAutospacing="1" w:after="100" w:afterAutospacing="1"/>
              <w:jc w:val="center"/>
              <w:rPr>
                <w:rFonts w:cs="Times New Roman"/>
              </w:rPr>
            </w:pPr>
            <w:r>
              <w:rPr>
                <w:rFonts w:hint="eastAsia" w:ascii="方正楷体简体" w:hAnsi="方正楷体简体" w:cs="Times New Roman"/>
                <w:sz w:val="32"/>
                <w:szCs w:val="32"/>
              </w:rPr>
              <w:t>（</w:t>
            </w:r>
            <w:r>
              <w:rPr>
                <w:rFonts w:ascii="方正楷体简体" w:hAnsi="方正楷体简体" w:cs="Times New Roman"/>
                <w:sz w:val="32"/>
                <w:szCs w:val="32"/>
              </w:rPr>
              <w:t>2022</w:t>
            </w:r>
            <w:r>
              <w:rPr>
                <w:rFonts w:hint="eastAsia" w:ascii="方正楷体简体" w:hAnsi="方正楷体简体" w:cs="Times New Roman"/>
                <w:sz w:val="32"/>
                <w:szCs w:val="32"/>
              </w:rPr>
              <w:t>年度）</w:t>
            </w:r>
          </w:p>
        </w:tc>
      </w:tr>
      <w:tr>
        <w:tblPrEx>
          <w:tblCellMar>
            <w:top w:w="0" w:type="dxa"/>
            <w:left w:w="0" w:type="dxa"/>
            <w:bottom w:w="0" w:type="dxa"/>
            <w:right w:w="0" w:type="dxa"/>
          </w:tblCellMar>
        </w:tblPrEx>
        <w:trPr>
          <w:gridAfter w:val="1"/>
          <w:wAfter w:w="9" w:type="dxa"/>
          <w:jc w:val="center"/>
        </w:trPr>
        <w:tc>
          <w:tcPr>
            <w:tcW w:w="108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ascii="方正楷体简体" w:hAnsi="方正楷体简体" w:cs="Times New Roman"/>
                <w:sz w:val="15"/>
                <w:szCs w:val="15"/>
              </w:rPr>
              <w:t>项目名称</w:t>
            </w:r>
          </w:p>
        </w:tc>
        <w:tc>
          <w:tcPr>
            <w:tcW w:w="7251" w:type="dxa"/>
            <w:gridSpan w:val="18"/>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定项补助</w:t>
            </w:r>
          </w:p>
        </w:tc>
      </w:tr>
      <w:tr>
        <w:tblPrEx>
          <w:tblCellMar>
            <w:top w:w="0" w:type="dxa"/>
            <w:left w:w="0" w:type="dxa"/>
            <w:bottom w:w="0" w:type="dxa"/>
            <w:right w:w="0" w:type="dxa"/>
          </w:tblCellMar>
        </w:tblPrEx>
        <w:trPr>
          <w:gridAfter w:val="1"/>
          <w:wAfter w:w="9" w:type="dxa"/>
          <w:jc w:val="center"/>
        </w:trPr>
        <w:tc>
          <w:tcPr>
            <w:tcW w:w="108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主管部门及代码</w:t>
            </w:r>
          </w:p>
        </w:tc>
        <w:tc>
          <w:tcPr>
            <w:tcW w:w="3892" w:type="dxa"/>
            <w:gridSpan w:val="8"/>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　内蒙古自治区市场监督管理局部门</w:t>
            </w:r>
          </w:p>
        </w:tc>
        <w:tc>
          <w:tcPr>
            <w:tcW w:w="110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实施单位</w:t>
            </w:r>
          </w:p>
        </w:tc>
        <w:tc>
          <w:tcPr>
            <w:tcW w:w="2252" w:type="dxa"/>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自治区特种设备检验研究院、自治区特种设备检验研究院呼伦贝尔分院、自治区特种设备检验研究院兴安分院、自治区特种设备检验研究院通辽分院、自治区特种设备检验研究院锡林郭勒分院、自治区特种设备检验研究院乌兰察布分院、自治区特种设备检验研究院鄂尔多斯分院、自治区特种设备检验研究院巴彦淖尔分院、自治区特种设备检验研究院阿拉善分院、自治区特种设备检验研究院包头分院、自治区特种设备检验研究院乌海分院、自治区特种设备检验研究院赤峰分院、自治区特种设备检验研究院二连浩特分院、自治区特种设备检验研究院满洲里分院</w:t>
            </w:r>
          </w:p>
        </w:tc>
      </w:tr>
      <w:tr>
        <w:tblPrEx>
          <w:tblCellMar>
            <w:top w:w="0" w:type="dxa"/>
            <w:left w:w="0" w:type="dxa"/>
            <w:bottom w:w="0" w:type="dxa"/>
            <w:right w:w="0" w:type="dxa"/>
          </w:tblCellMar>
        </w:tblPrEx>
        <w:trPr>
          <w:gridAfter w:val="1"/>
          <w:wAfter w:w="9" w:type="dxa"/>
          <w:jc w:val="center"/>
        </w:trPr>
        <w:tc>
          <w:tcPr>
            <w:tcW w:w="108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项目资金 （万元）</w:t>
            </w:r>
          </w:p>
        </w:tc>
        <w:tc>
          <w:tcPr>
            <w:tcW w:w="1726"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w:t>
            </w:r>
          </w:p>
        </w:tc>
        <w:tc>
          <w:tcPr>
            <w:tcW w:w="9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年初预算数</w:t>
            </w:r>
          </w:p>
        </w:tc>
        <w:tc>
          <w:tcPr>
            <w:tcW w:w="120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全年预算数</w:t>
            </w:r>
          </w:p>
        </w:tc>
        <w:tc>
          <w:tcPr>
            <w:tcW w:w="110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全年执行数</w:t>
            </w:r>
          </w:p>
        </w:tc>
        <w:tc>
          <w:tcPr>
            <w:tcW w:w="1062"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分值</w:t>
            </w:r>
          </w:p>
        </w:tc>
        <w:tc>
          <w:tcPr>
            <w:tcW w:w="68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执行率</w:t>
            </w:r>
          </w:p>
        </w:tc>
        <w:tc>
          <w:tcPr>
            <w:tcW w:w="50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得分</w:t>
            </w:r>
          </w:p>
        </w:tc>
      </w:tr>
      <w:tr>
        <w:tblPrEx>
          <w:tblCellMar>
            <w:top w:w="0" w:type="dxa"/>
            <w:left w:w="0" w:type="dxa"/>
            <w:bottom w:w="0" w:type="dxa"/>
            <w:right w:w="0" w:type="dxa"/>
          </w:tblCellMar>
        </w:tblPrEx>
        <w:trPr>
          <w:gridAfter w:val="1"/>
          <w:wAfter w:w="9" w:type="dxa"/>
          <w:jc w:val="center"/>
        </w:trPr>
        <w:tc>
          <w:tcPr>
            <w:tcW w:w="1086" w:type="dxa"/>
            <w:gridSpan w:val="2"/>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1726"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年度资金总额</w:t>
            </w:r>
          </w:p>
        </w:tc>
        <w:tc>
          <w:tcPr>
            <w:tcW w:w="9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,854.00</w:t>
            </w:r>
          </w:p>
        </w:tc>
        <w:tc>
          <w:tcPr>
            <w:tcW w:w="120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7,655.15</w:t>
            </w:r>
          </w:p>
        </w:tc>
        <w:tc>
          <w:tcPr>
            <w:tcW w:w="110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7,655.15</w:t>
            </w:r>
          </w:p>
        </w:tc>
        <w:tc>
          <w:tcPr>
            <w:tcW w:w="1062"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68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w:t>
            </w:r>
            <w:r>
              <w:rPr>
                <w:rFonts w:cs="Times New Roman"/>
                <w:sz w:val="15"/>
                <w:szCs w:val="15"/>
              </w:rPr>
              <w:t>00%</w:t>
            </w:r>
          </w:p>
        </w:tc>
        <w:tc>
          <w:tcPr>
            <w:tcW w:w="50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w:t>
            </w:r>
            <w:r>
              <w:rPr>
                <w:rFonts w:cs="Times New Roman"/>
                <w:sz w:val="15"/>
                <w:szCs w:val="15"/>
              </w:rPr>
              <w:t>0</w:t>
            </w:r>
          </w:p>
        </w:tc>
      </w:tr>
      <w:tr>
        <w:tblPrEx>
          <w:tblCellMar>
            <w:top w:w="0" w:type="dxa"/>
            <w:left w:w="0" w:type="dxa"/>
            <w:bottom w:w="0" w:type="dxa"/>
            <w:right w:w="0" w:type="dxa"/>
          </w:tblCellMar>
        </w:tblPrEx>
        <w:trPr>
          <w:gridAfter w:val="1"/>
          <w:wAfter w:w="9" w:type="dxa"/>
          <w:jc w:val="center"/>
        </w:trPr>
        <w:tc>
          <w:tcPr>
            <w:tcW w:w="1086" w:type="dxa"/>
            <w:gridSpan w:val="2"/>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1726"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其中：财政拨款</w:t>
            </w:r>
          </w:p>
        </w:tc>
        <w:tc>
          <w:tcPr>
            <w:tcW w:w="9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854.00</w:t>
            </w:r>
          </w:p>
        </w:tc>
        <w:tc>
          <w:tcPr>
            <w:tcW w:w="120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7,655.15</w:t>
            </w:r>
          </w:p>
        </w:tc>
        <w:tc>
          <w:tcPr>
            <w:tcW w:w="110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7,655.15</w:t>
            </w:r>
          </w:p>
        </w:tc>
        <w:tc>
          <w:tcPr>
            <w:tcW w:w="1062"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c>
          <w:tcPr>
            <w:tcW w:w="68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50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r>
      <w:tr>
        <w:tblPrEx>
          <w:tblCellMar>
            <w:top w:w="0" w:type="dxa"/>
            <w:left w:w="0" w:type="dxa"/>
            <w:bottom w:w="0" w:type="dxa"/>
            <w:right w:w="0" w:type="dxa"/>
          </w:tblCellMar>
        </w:tblPrEx>
        <w:trPr>
          <w:gridAfter w:val="1"/>
          <w:wAfter w:w="9" w:type="dxa"/>
          <w:jc w:val="center"/>
        </w:trPr>
        <w:tc>
          <w:tcPr>
            <w:tcW w:w="1086" w:type="dxa"/>
            <w:gridSpan w:val="2"/>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1726"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其他资金</w:t>
            </w:r>
          </w:p>
        </w:tc>
        <w:tc>
          <w:tcPr>
            <w:tcW w:w="9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w:t>
            </w:r>
          </w:p>
        </w:tc>
        <w:tc>
          <w:tcPr>
            <w:tcW w:w="120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w:t>
            </w:r>
          </w:p>
        </w:tc>
        <w:tc>
          <w:tcPr>
            <w:tcW w:w="1107"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w:t>
            </w:r>
          </w:p>
        </w:tc>
        <w:tc>
          <w:tcPr>
            <w:tcW w:w="1062"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c>
          <w:tcPr>
            <w:tcW w:w="686"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w:t>
            </w:r>
          </w:p>
        </w:tc>
        <w:tc>
          <w:tcPr>
            <w:tcW w:w="50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r>
      <w:tr>
        <w:tblPrEx>
          <w:tblCellMar>
            <w:top w:w="0" w:type="dxa"/>
            <w:left w:w="0" w:type="dxa"/>
            <w:bottom w:w="0" w:type="dxa"/>
            <w:right w:w="0" w:type="dxa"/>
          </w:tblCellMar>
        </w:tblPrEx>
        <w:trPr>
          <w:jc w:val="center"/>
        </w:trPr>
        <w:tc>
          <w:tcPr>
            <w:tcW w:w="84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年度总体目标</w:t>
            </w:r>
          </w:p>
        </w:tc>
        <w:tc>
          <w:tcPr>
            <w:tcW w:w="4132" w:type="dxa"/>
            <w:gridSpan w:val="9"/>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cs="Times New Roman"/>
                <w:sz w:val="15"/>
                <w:szCs w:val="15"/>
              </w:rPr>
            </w:pPr>
            <w:r>
              <w:rPr>
                <w:rFonts w:hint="eastAsia" w:cs="Times New Roman"/>
                <w:sz w:val="15"/>
                <w:szCs w:val="15"/>
              </w:rPr>
              <w:t>预期目标</w:t>
            </w:r>
          </w:p>
        </w:tc>
        <w:tc>
          <w:tcPr>
            <w:tcW w:w="3368" w:type="dxa"/>
            <w:gridSpan w:val="11"/>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cs="Times New Roman"/>
                <w:sz w:val="15"/>
                <w:szCs w:val="15"/>
              </w:rPr>
            </w:pPr>
            <w:r>
              <w:rPr>
                <w:rFonts w:hint="eastAsia" w:cs="Times New Roman"/>
                <w:sz w:val="15"/>
                <w:szCs w:val="15"/>
              </w:rPr>
              <w:t>实际完成情况</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4132" w:type="dxa"/>
            <w:gridSpan w:val="9"/>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保障特种设备检验检测工作顺利开展。保障全年在职职工基本工资，津贴补贴、绩效工资及各项社会保险、住房公积金的缴納，保障单位基本支出运转。</w:t>
            </w:r>
          </w:p>
        </w:tc>
        <w:tc>
          <w:tcPr>
            <w:tcW w:w="3368" w:type="dxa"/>
            <w:gridSpan w:val="11"/>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通过保障全年在职职工基本工资、津贴补贴、绩效工资及各项社会保险、住房公积金的缴纳，保障单位基本支出运转，保障了特种设备检验检测工作顺利开展。</w:t>
            </w:r>
          </w:p>
        </w:tc>
      </w:tr>
      <w:tr>
        <w:tblPrEx>
          <w:tblCellMar>
            <w:top w:w="0" w:type="dxa"/>
            <w:left w:w="0" w:type="dxa"/>
            <w:bottom w:w="0" w:type="dxa"/>
            <w:right w:w="0" w:type="dxa"/>
          </w:tblCellMar>
        </w:tblPrEx>
        <w:trPr>
          <w:jc w:val="center"/>
        </w:trPr>
        <w:tc>
          <w:tcPr>
            <w:tcW w:w="84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绩  效 指  标（90）</w:t>
            </w:r>
          </w:p>
        </w:tc>
        <w:tc>
          <w:tcPr>
            <w:tcW w:w="9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一级指标</w:t>
            </w:r>
          </w:p>
        </w:tc>
        <w:tc>
          <w:tcPr>
            <w:tcW w:w="8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二级指标</w:t>
            </w:r>
          </w:p>
        </w:tc>
        <w:tc>
          <w:tcPr>
            <w:tcW w:w="140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三级指标</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年度指标值</w:t>
            </w:r>
          </w:p>
        </w:tc>
        <w:tc>
          <w:tcPr>
            <w:tcW w:w="12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实际完成值</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分值</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得分</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ind w:left="-134" w:leftChars="-56"/>
              <w:jc w:val="center"/>
              <w:rPr>
                <w:rFonts w:cs="Times New Roman"/>
                <w:sz w:val="15"/>
                <w:szCs w:val="15"/>
              </w:rPr>
            </w:pPr>
            <w:r>
              <w:rPr>
                <w:rFonts w:hint="eastAsia" w:cs="Times New Roman"/>
                <w:sz w:val="15"/>
                <w:szCs w:val="15"/>
              </w:rPr>
              <w:t>偏差原因分析及改进措施</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932"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产出指标（50）</w:t>
            </w:r>
          </w:p>
        </w:tc>
        <w:tc>
          <w:tcPr>
            <w:tcW w:w="837"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数量指标</w:t>
            </w:r>
          </w:p>
        </w:tc>
        <w:tc>
          <w:tcPr>
            <w:tcW w:w="1400"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指标1：补贴资金发放次数</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w:t>
            </w:r>
            <w:r>
              <w:rPr>
                <w:rFonts w:cs="Times New Roman"/>
                <w:sz w:val="15"/>
                <w:szCs w:val="15"/>
              </w:rPr>
              <w:t>12</w:t>
            </w:r>
            <w:r>
              <w:rPr>
                <w:rFonts w:hint="eastAsia" w:cs="Times New Roman"/>
                <w:sz w:val="15"/>
                <w:szCs w:val="15"/>
              </w:rPr>
              <w:t>个月</w:t>
            </w:r>
          </w:p>
        </w:tc>
        <w:tc>
          <w:tcPr>
            <w:tcW w:w="12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12</w:t>
            </w:r>
            <w:r>
              <w:rPr>
                <w:rFonts w:hint="eastAsia" w:cs="Times New Roman"/>
                <w:sz w:val="15"/>
                <w:szCs w:val="15"/>
              </w:rPr>
              <w:t>个月</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3"/>
            <w:vMerge w:val="continue"/>
            <w:tcBorders>
              <w:top w:val="nil"/>
              <w:left w:val="nil"/>
              <w:bottom w:val="single" w:color="auto" w:sz="8" w:space="0"/>
              <w:right w:val="single" w:color="auto" w:sz="8" w:space="0"/>
            </w:tcBorders>
            <w:vAlign w:val="center"/>
          </w:tcPr>
          <w:p>
            <w:pPr>
              <w:rPr>
                <w:rFonts w:cs="Times New Roman"/>
                <w:sz w:val="15"/>
                <w:szCs w:val="15"/>
              </w:rPr>
            </w:pPr>
          </w:p>
        </w:tc>
        <w:tc>
          <w:tcPr>
            <w:tcW w:w="0" w:type="auto"/>
            <w:vMerge w:val="continue"/>
            <w:tcBorders>
              <w:top w:val="nil"/>
              <w:left w:val="nil"/>
              <w:bottom w:val="single" w:color="auto" w:sz="8" w:space="0"/>
              <w:right w:val="single" w:color="auto" w:sz="8" w:space="0"/>
            </w:tcBorders>
            <w:vAlign w:val="center"/>
          </w:tcPr>
          <w:p>
            <w:pPr>
              <w:rPr>
                <w:rFonts w:cs="Times New Roman"/>
                <w:sz w:val="15"/>
                <w:szCs w:val="15"/>
              </w:rPr>
            </w:pPr>
          </w:p>
        </w:tc>
        <w:tc>
          <w:tcPr>
            <w:tcW w:w="1400"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指标2：补贴资金发放形式种类</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≥1种</w:t>
            </w:r>
          </w:p>
        </w:tc>
        <w:tc>
          <w:tcPr>
            <w:tcW w:w="12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w:t>
            </w:r>
            <w:r>
              <w:rPr>
                <w:rFonts w:hint="eastAsia" w:cs="Times New Roman"/>
                <w:sz w:val="15"/>
                <w:szCs w:val="15"/>
              </w:rPr>
              <w:t>种</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3"/>
            <w:vMerge w:val="continue"/>
            <w:tcBorders>
              <w:top w:val="nil"/>
              <w:left w:val="nil"/>
              <w:bottom w:val="single" w:color="auto" w:sz="8" w:space="0"/>
              <w:right w:val="single" w:color="auto" w:sz="8" w:space="0"/>
            </w:tcBorders>
            <w:vAlign w:val="center"/>
          </w:tcPr>
          <w:p>
            <w:pPr>
              <w:rPr>
                <w:rFonts w:cs="Times New Roman"/>
                <w:sz w:val="15"/>
                <w:szCs w:val="15"/>
              </w:rPr>
            </w:pPr>
          </w:p>
        </w:tc>
        <w:tc>
          <w:tcPr>
            <w:tcW w:w="8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质量指标</w:t>
            </w:r>
          </w:p>
        </w:tc>
        <w:tc>
          <w:tcPr>
            <w:tcW w:w="1400"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指标1：补贴资金发放次数保障率</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≥100%</w:t>
            </w:r>
          </w:p>
        </w:tc>
        <w:tc>
          <w:tcPr>
            <w:tcW w:w="12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100%</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3"/>
            <w:vMerge w:val="continue"/>
            <w:tcBorders>
              <w:top w:val="nil"/>
              <w:left w:val="nil"/>
              <w:bottom w:val="single" w:color="auto" w:sz="8" w:space="0"/>
              <w:right w:val="single" w:color="auto" w:sz="8" w:space="0"/>
            </w:tcBorders>
            <w:vAlign w:val="center"/>
          </w:tcPr>
          <w:p>
            <w:pPr>
              <w:rPr>
                <w:rFonts w:cs="Times New Roman"/>
                <w:sz w:val="15"/>
                <w:szCs w:val="15"/>
              </w:rPr>
            </w:pPr>
          </w:p>
        </w:tc>
        <w:tc>
          <w:tcPr>
            <w:tcW w:w="8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时效指标</w:t>
            </w:r>
          </w:p>
        </w:tc>
        <w:tc>
          <w:tcPr>
            <w:tcW w:w="1400"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指标1：完成时间</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=2022年</w:t>
            </w:r>
          </w:p>
        </w:tc>
        <w:tc>
          <w:tcPr>
            <w:tcW w:w="12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=2022年</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3"/>
            <w:vMerge w:val="continue"/>
            <w:tcBorders>
              <w:top w:val="nil"/>
              <w:left w:val="nil"/>
              <w:bottom w:val="single" w:color="auto" w:sz="8" w:space="0"/>
              <w:right w:val="single" w:color="auto" w:sz="8" w:space="0"/>
            </w:tcBorders>
            <w:vAlign w:val="center"/>
          </w:tcPr>
          <w:p>
            <w:pPr>
              <w:rPr>
                <w:rFonts w:cs="Times New Roman"/>
                <w:sz w:val="15"/>
                <w:szCs w:val="15"/>
              </w:rPr>
            </w:pPr>
          </w:p>
        </w:tc>
        <w:tc>
          <w:tcPr>
            <w:tcW w:w="8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成本指标</w:t>
            </w:r>
          </w:p>
        </w:tc>
        <w:tc>
          <w:tcPr>
            <w:tcW w:w="1400"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指标1：补贴发放标准</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rPr>
                <w:rFonts w:cs="Times New Roman"/>
                <w:sz w:val="15"/>
                <w:szCs w:val="15"/>
              </w:rPr>
            </w:pPr>
            <w:r>
              <w:rPr>
                <w:rFonts w:cs="Times New Roman"/>
                <w:sz w:val="15"/>
                <w:szCs w:val="15"/>
              </w:rPr>
              <w:t>7,655.15</w:t>
            </w:r>
            <w:r>
              <w:rPr>
                <w:rFonts w:hint="eastAsia" w:cs="Times New Roman"/>
                <w:sz w:val="15"/>
                <w:szCs w:val="15"/>
              </w:rPr>
              <w:t xml:space="preserve">万元 </w:t>
            </w:r>
          </w:p>
        </w:tc>
        <w:tc>
          <w:tcPr>
            <w:tcW w:w="12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7,655.15</w:t>
            </w:r>
            <w:r>
              <w:rPr>
                <w:rFonts w:hint="eastAsia" w:cs="Times New Roman"/>
                <w:sz w:val="15"/>
                <w:szCs w:val="15"/>
              </w:rPr>
              <w:t>万元</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8.9</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932" w:type="dxa"/>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效益指标（30）</w:t>
            </w:r>
          </w:p>
        </w:tc>
        <w:tc>
          <w:tcPr>
            <w:tcW w:w="8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社会效益指标</w:t>
            </w:r>
          </w:p>
        </w:tc>
        <w:tc>
          <w:tcPr>
            <w:tcW w:w="1400"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指标1：保证员工及时收到工资</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优</w:t>
            </w:r>
          </w:p>
        </w:tc>
        <w:tc>
          <w:tcPr>
            <w:tcW w:w="12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优</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3"/>
            <w:vMerge w:val="continue"/>
            <w:tcBorders>
              <w:top w:val="nil"/>
              <w:left w:val="nil"/>
              <w:bottom w:val="single" w:color="auto" w:sz="8" w:space="0"/>
              <w:right w:val="single" w:color="auto" w:sz="8" w:space="0"/>
            </w:tcBorders>
            <w:vAlign w:val="center"/>
          </w:tcPr>
          <w:p>
            <w:pPr>
              <w:rPr>
                <w:rFonts w:cs="Times New Roman"/>
                <w:sz w:val="15"/>
                <w:szCs w:val="15"/>
              </w:rPr>
            </w:pPr>
          </w:p>
        </w:tc>
        <w:tc>
          <w:tcPr>
            <w:tcW w:w="837"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可持续影响 指标</w:t>
            </w:r>
          </w:p>
        </w:tc>
        <w:tc>
          <w:tcPr>
            <w:tcW w:w="1400"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指标1：人才引进增长率</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≥9</w:t>
            </w:r>
            <w:r>
              <w:rPr>
                <w:rFonts w:cs="Times New Roman"/>
                <w:sz w:val="15"/>
                <w:szCs w:val="15"/>
              </w:rPr>
              <w:t>5</w:t>
            </w:r>
            <w:r>
              <w:rPr>
                <w:rFonts w:hint="eastAsia" w:cs="Times New Roman"/>
                <w:sz w:val="15"/>
                <w:szCs w:val="15"/>
              </w:rPr>
              <w:t>%</w:t>
            </w:r>
          </w:p>
        </w:tc>
        <w:tc>
          <w:tcPr>
            <w:tcW w:w="12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9</w:t>
            </w:r>
            <w:r>
              <w:rPr>
                <w:rFonts w:cs="Times New Roman"/>
                <w:sz w:val="15"/>
                <w:szCs w:val="15"/>
              </w:rPr>
              <w:t>5</w:t>
            </w:r>
            <w:r>
              <w:rPr>
                <w:rFonts w:hint="eastAsia" w:cs="Times New Roman"/>
                <w:sz w:val="15"/>
                <w:szCs w:val="15"/>
              </w:rPr>
              <w:t>%</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3"/>
            <w:vMerge w:val="continue"/>
            <w:tcBorders>
              <w:top w:val="nil"/>
              <w:left w:val="nil"/>
              <w:bottom w:val="single" w:color="auto" w:sz="8" w:space="0"/>
              <w:right w:val="single" w:color="auto" w:sz="8" w:space="0"/>
            </w:tcBorders>
            <w:vAlign w:val="center"/>
          </w:tcPr>
          <w:p>
            <w:pPr>
              <w:rPr>
                <w:rFonts w:cs="Times New Roman"/>
                <w:sz w:val="15"/>
                <w:szCs w:val="15"/>
              </w:rPr>
            </w:pPr>
          </w:p>
        </w:tc>
        <w:tc>
          <w:tcPr>
            <w:tcW w:w="837"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1400"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指标2：保证各项各项业务有序开展</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优</w:t>
            </w:r>
          </w:p>
        </w:tc>
        <w:tc>
          <w:tcPr>
            <w:tcW w:w="12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优</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93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满意度 指  标（10）</w:t>
            </w:r>
          </w:p>
        </w:tc>
        <w:tc>
          <w:tcPr>
            <w:tcW w:w="83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服务对象 满意度指标</w:t>
            </w:r>
          </w:p>
        </w:tc>
        <w:tc>
          <w:tcPr>
            <w:tcW w:w="1400" w:type="dxa"/>
            <w:gridSpan w:val="4"/>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指标1：在职员工满意度</w:t>
            </w:r>
          </w:p>
        </w:tc>
        <w:tc>
          <w:tcPr>
            <w:tcW w:w="963"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≥80%</w:t>
            </w:r>
          </w:p>
        </w:tc>
        <w:tc>
          <w:tcPr>
            <w:tcW w:w="125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98</w:t>
            </w:r>
            <w:r>
              <w:rPr>
                <w:rFonts w:hint="eastAsia" w:cs="Times New Roman"/>
                <w:sz w:val="15"/>
                <w:szCs w:val="15"/>
              </w:rPr>
              <w:t>%</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jc w:val="center"/>
        </w:trPr>
        <w:tc>
          <w:tcPr>
            <w:tcW w:w="6229" w:type="dxa"/>
            <w:gridSpan w:val="1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总    分</w:t>
            </w:r>
          </w:p>
        </w:tc>
        <w:tc>
          <w:tcPr>
            <w:tcW w:w="64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100</w:t>
            </w:r>
          </w:p>
        </w:tc>
        <w:tc>
          <w:tcPr>
            <w:tcW w:w="57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100</w:t>
            </w:r>
          </w:p>
        </w:tc>
        <w:tc>
          <w:tcPr>
            <w:tcW w:w="894"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w:t>
            </w:r>
          </w:p>
        </w:tc>
      </w:tr>
      <w:tr>
        <w:tblPrEx>
          <w:tblCellMar>
            <w:top w:w="0" w:type="dxa"/>
            <w:left w:w="0" w:type="dxa"/>
            <w:bottom w:w="0" w:type="dxa"/>
            <w:right w:w="0" w:type="dxa"/>
          </w:tblCellMar>
        </w:tblPrEx>
        <w:trPr>
          <w:gridAfter w:val="1"/>
          <w:wAfter w:w="9" w:type="dxa"/>
          <w:jc w:val="center"/>
        </w:trPr>
        <w:tc>
          <w:tcPr>
            <w:tcW w:w="846" w:type="dxa"/>
            <w:vAlign w:val="center"/>
          </w:tcPr>
          <w:p>
            <w:pPr>
              <w:rPr>
                <w:rFonts w:cs="Times New Roman"/>
              </w:rPr>
            </w:pPr>
            <w:r>
              <w:rPr>
                <w:rFonts w:hint="eastAsia" w:cs="Times New Roman"/>
              </w:rPr>
              <w:t> </w:t>
            </w:r>
          </w:p>
        </w:tc>
        <w:tc>
          <w:tcPr>
            <w:tcW w:w="240" w:type="dxa"/>
            <w:vAlign w:val="center"/>
          </w:tcPr>
          <w:p>
            <w:pPr>
              <w:rPr>
                <w:rFonts w:cs="Times New Roman"/>
              </w:rPr>
            </w:pPr>
            <w:r>
              <w:rPr>
                <w:rFonts w:hint="eastAsia" w:cs="Times New Roman"/>
              </w:rPr>
              <w:t> </w:t>
            </w:r>
          </w:p>
        </w:tc>
        <w:tc>
          <w:tcPr>
            <w:tcW w:w="682" w:type="dxa"/>
            <w:vAlign w:val="center"/>
          </w:tcPr>
          <w:p>
            <w:pPr>
              <w:rPr>
                <w:rFonts w:cs="Times New Roman"/>
              </w:rPr>
            </w:pPr>
            <w:r>
              <w:rPr>
                <w:rFonts w:hint="eastAsia" w:cs="Times New Roman"/>
              </w:rPr>
              <w:t> </w:t>
            </w:r>
          </w:p>
        </w:tc>
        <w:tc>
          <w:tcPr>
            <w:tcW w:w="1044" w:type="dxa"/>
            <w:gridSpan w:val="3"/>
            <w:vAlign w:val="center"/>
          </w:tcPr>
          <w:p>
            <w:pPr>
              <w:rPr>
                <w:rFonts w:cs="Times New Roman"/>
              </w:rPr>
            </w:pPr>
            <w:r>
              <w:rPr>
                <w:rFonts w:hint="eastAsia" w:cs="Times New Roman"/>
              </w:rPr>
              <w:t> </w:t>
            </w:r>
          </w:p>
        </w:tc>
        <w:tc>
          <w:tcPr>
            <w:tcW w:w="253" w:type="dxa"/>
            <w:vAlign w:val="center"/>
          </w:tcPr>
          <w:p>
            <w:pPr>
              <w:rPr>
                <w:rFonts w:cs="Times New Roman"/>
              </w:rPr>
            </w:pPr>
            <w:r>
              <w:rPr>
                <w:rFonts w:hint="eastAsia" w:cs="Times New Roman"/>
              </w:rPr>
              <w:t> </w:t>
            </w:r>
          </w:p>
        </w:tc>
        <w:tc>
          <w:tcPr>
            <w:tcW w:w="710" w:type="dxa"/>
            <w:vAlign w:val="center"/>
          </w:tcPr>
          <w:p>
            <w:pPr>
              <w:rPr>
                <w:rFonts w:cs="Times New Roman"/>
              </w:rPr>
            </w:pPr>
            <w:r>
              <w:rPr>
                <w:rFonts w:hint="eastAsia" w:cs="Times New Roman"/>
              </w:rPr>
              <w:t> </w:t>
            </w:r>
          </w:p>
        </w:tc>
        <w:tc>
          <w:tcPr>
            <w:tcW w:w="240" w:type="dxa"/>
            <w:vAlign w:val="center"/>
          </w:tcPr>
          <w:p>
            <w:pPr>
              <w:rPr>
                <w:rFonts w:cs="Times New Roman"/>
              </w:rPr>
            </w:pPr>
            <w:r>
              <w:rPr>
                <w:rFonts w:hint="eastAsia" w:cs="Times New Roman"/>
              </w:rPr>
              <w:t> </w:t>
            </w:r>
          </w:p>
        </w:tc>
        <w:tc>
          <w:tcPr>
            <w:tcW w:w="963" w:type="dxa"/>
            <w:vAlign w:val="center"/>
          </w:tcPr>
          <w:p>
            <w:pPr>
              <w:rPr>
                <w:rFonts w:cs="Times New Roman"/>
              </w:rPr>
            </w:pPr>
            <w:r>
              <w:rPr>
                <w:rFonts w:hint="eastAsia" w:cs="Times New Roman"/>
              </w:rPr>
              <w:t> </w:t>
            </w:r>
          </w:p>
        </w:tc>
        <w:tc>
          <w:tcPr>
            <w:tcW w:w="1107" w:type="dxa"/>
            <w:vAlign w:val="center"/>
          </w:tcPr>
          <w:p>
            <w:pPr>
              <w:rPr>
                <w:rFonts w:cs="Times New Roman"/>
              </w:rPr>
            </w:pPr>
            <w:r>
              <w:rPr>
                <w:rFonts w:hint="eastAsia" w:cs="Times New Roman"/>
              </w:rPr>
              <w:t> </w:t>
            </w:r>
          </w:p>
        </w:tc>
        <w:tc>
          <w:tcPr>
            <w:tcW w:w="240" w:type="dxa"/>
            <w:gridSpan w:val="2"/>
            <w:vAlign w:val="center"/>
          </w:tcPr>
          <w:p>
            <w:pPr>
              <w:rPr>
                <w:rFonts w:cs="Times New Roman"/>
              </w:rPr>
            </w:pPr>
            <w:r>
              <w:rPr>
                <w:rFonts w:hint="eastAsia" w:cs="Times New Roman"/>
              </w:rPr>
              <w:t> </w:t>
            </w:r>
          </w:p>
        </w:tc>
        <w:tc>
          <w:tcPr>
            <w:tcW w:w="540" w:type="dxa"/>
            <w:vAlign w:val="center"/>
          </w:tcPr>
          <w:p>
            <w:pPr>
              <w:rPr>
                <w:rFonts w:cs="Times New Roman"/>
              </w:rPr>
            </w:pPr>
            <w:r>
              <w:rPr>
                <w:rFonts w:hint="eastAsia" w:cs="Times New Roman"/>
              </w:rPr>
              <w:t> </w:t>
            </w:r>
          </w:p>
        </w:tc>
        <w:tc>
          <w:tcPr>
            <w:tcW w:w="282" w:type="dxa"/>
            <w:gridSpan w:val="2"/>
            <w:vAlign w:val="center"/>
          </w:tcPr>
          <w:p>
            <w:pPr>
              <w:rPr>
                <w:rFonts w:cs="Times New Roman"/>
              </w:rPr>
            </w:pPr>
            <w:r>
              <w:rPr>
                <w:rFonts w:hint="eastAsia" w:cs="Times New Roman"/>
              </w:rPr>
              <w:t> </w:t>
            </w:r>
          </w:p>
        </w:tc>
        <w:tc>
          <w:tcPr>
            <w:tcW w:w="294" w:type="dxa"/>
            <w:vAlign w:val="center"/>
          </w:tcPr>
          <w:p>
            <w:pPr>
              <w:rPr>
                <w:rFonts w:cs="Times New Roman"/>
              </w:rPr>
            </w:pPr>
            <w:r>
              <w:rPr>
                <w:rFonts w:hint="eastAsia" w:cs="Times New Roman"/>
              </w:rPr>
              <w:t> </w:t>
            </w:r>
          </w:p>
        </w:tc>
        <w:tc>
          <w:tcPr>
            <w:tcW w:w="392" w:type="dxa"/>
            <w:gridSpan w:val="2"/>
            <w:vAlign w:val="center"/>
          </w:tcPr>
          <w:p>
            <w:pPr>
              <w:rPr>
                <w:rFonts w:cs="Times New Roman"/>
              </w:rPr>
            </w:pPr>
            <w:r>
              <w:rPr>
                <w:rFonts w:hint="eastAsia" w:cs="Times New Roman"/>
              </w:rPr>
              <w:t> </w:t>
            </w:r>
          </w:p>
        </w:tc>
        <w:tc>
          <w:tcPr>
            <w:tcW w:w="504" w:type="dxa"/>
            <w:vAlign w:val="center"/>
          </w:tcPr>
          <w:p>
            <w:pPr>
              <w:rPr>
                <w:rFonts w:cs="Times New Roman"/>
              </w:rPr>
            </w:pPr>
            <w:r>
              <w:rPr>
                <w:rFonts w:hint="eastAsia" w:cs="Times New Roman"/>
              </w:rPr>
              <w:t> </w:t>
            </w:r>
          </w:p>
        </w:tc>
      </w:tr>
    </w:tbl>
    <w:p>
      <w:pPr>
        <w:ind w:firstLine="640" w:firstLineChars="200"/>
        <w:rPr>
          <w:color w:val="0000FF"/>
          <w:sz w:val="32"/>
          <w:szCs w:val="32"/>
        </w:rPr>
      </w:pPr>
    </w:p>
    <w:p>
      <w:pPr>
        <w:rPr>
          <w:color w:val="0000FF"/>
          <w:sz w:val="32"/>
          <w:szCs w:val="32"/>
        </w:rPr>
      </w:pPr>
      <w:r>
        <w:rPr>
          <w:color w:val="0000FF"/>
          <w:sz w:val="32"/>
          <w:szCs w:val="32"/>
        </w:rPr>
        <w:br w:type="page"/>
      </w:r>
    </w:p>
    <w:tbl>
      <w:tblPr>
        <w:tblStyle w:val="9"/>
        <w:tblW w:w="8270" w:type="dxa"/>
        <w:jc w:val="center"/>
        <w:tblLayout w:type="autofit"/>
        <w:tblCellMar>
          <w:top w:w="0" w:type="dxa"/>
          <w:left w:w="0" w:type="dxa"/>
          <w:bottom w:w="0" w:type="dxa"/>
          <w:right w:w="0" w:type="dxa"/>
        </w:tblCellMar>
      </w:tblPr>
      <w:tblGrid>
        <w:gridCol w:w="818"/>
        <w:gridCol w:w="288"/>
        <w:gridCol w:w="531"/>
        <w:gridCol w:w="921"/>
        <w:gridCol w:w="51"/>
        <w:gridCol w:w="240"/>
        <w:gridCol w:w="1029"/>
        <w:gridCol w:w="240"/>
        <w:gridCol w:w="850"/>
        <w:gridCol w:w="20"/>
        <w:gridCol w:w="873"/>
        <w:gridCol w:w="184"/>
        <w:gridCol w:w="56"/>
        <w:gridCol w:w="411"/>
        <w:gridCol w:w="216"/>
        <w:gridCol w:w="24"/>
        <w:gridCol w:w="370"/>
        <w:gridCol w:w="493"/>
        <w:gridCol w:w="20"/>
        <w:gridCol w:w="617"/>
        <w:gridCol w:w="18"/>
      </w:tblGrid>
      <w:tr>
        <w:tblPrEx>
          <w:tblCellMar>
            <w:top w:w="0" w:type="dxa"/>
            <w:left w:w="0" w:type="dxa"/>
            <w:bottom w:w="0" w:type="dxa"/>
            <w:right w:w="0" w:type="dxa"/>
          </w:tblCellMar>
        </w:tblPrEx>
        <w:trPr>
          <w:gridAfter w:val="1"/>
          <w:wAfter w:w="18" w:type="dxa"/>
          <w:jc w:val="center"/>
        </w:trPr>
        <w:tc>
          <w:tcPr>
            <w:tcW w:w="8252" w:type="dxa"/>
            <w:gridSpan w:val="20"/>
            <w:tcMar>
              <w:top w:w="0" w:type="dxa"/>
              <w:left w:w="108" w:type="dxa"/>
              <w:bottom w:w="0" w:type="dxa"/>
              <w:right w:w="108" w:type="dxa"/>
            </w:tcMar>
          </w:tcPr>
          <w:p>
            <w:pPr>
              <w:spacing w:before="100" w:beforeAutospacing="1" w:after="100" w:afterAutospacing="1"/>
              <w:jc w:val="center"/>
              <w:rPr>
                <w:rFonts w:cs="Times New Roman"/>
              </w:rPr>
            </w:pPr>
            <w:r>
              <w:rPr>
                <w:rFonts w:hint="eastAsia" w:ascii="方正小标宋简体" w:eastAsia="方正小标宋简体" w:cs="Times New Roman"/>
                <w:spacing w:val="20"/>
                <w:sz w:val="44"/>
                <w:szCs w:val="44"/>
              </w:rPr>
              <w:t>项目支出绩效自评表</w:t>
            </w:r>
          </w:p>
        </w:tc>
      </w:tr>
      <w:tr>
        <w:tblPrEx>
          <w:tblCellMar>
            <w:top w:w="0" w:type="dxa"/>
            <w:left w:w="0" w:type="dxa"/>
            <w:bottom w:w="0" w:type="dxa"/>
            <w:right w:w="0" w:type="dxa"/>
          </w:tblCellMar>
        </w:tblPrEx>
        <w:trPr>
          <w:gridAfter w:val="1"/>
          <w:wAfter w:w="18" w:type="dxa"/>
          <w:jc w:val="center"/>
        </w:trPr>
        <w:tc>
          <w:tcPr>
            <w:tcW w:w="8252" w:type="dxa"/>
            <w:gridSpan w:val="20"/>
            <w:tcMar>
              <w:top w:w="0" w:type="dxa"/>
              <w:left w:w="108" w:type="dxa"/>
              <w:bottom w:w="0" w:type="dxa"/>
              <w:right w:w="108" w:type="dxa"/>
            </w:tcMar>
          </w:tcPr>
          <w:p>
            <w:pPr>
              <w:spacing w:before="100" w:beforeAutospacing="1" w:after="100" w:afterAutospacing="1"/>
              <w:jc w:val="center"/>
              <w:rPr>
                <w:rFonts w:cs="Times New Roman"/>
              </w:rPr>
            </w:pPr>
            <w:r>
              <w:rPr>
                <w:rFonts w:hint="eastAsia" w:ascii="方正楷体简体" w:hAnsi="方正楷体简体" w:cs="Times New Roman"/>
                <w:sz w:val="32"/>
                <w:szCs w:val="32"/>
              </w:rPr>
              <w:t>（</w:t>
            </w:r>
            <w:r>
              <w:rPr>
                <w:rFonts w:ascii="方正楷体简体" w:hAnsi="方正楷体简体" w:cs="Times New Roman"/>
                <w:sz w:val="32"/>
                <w:szCs w:val="32"/>
              </w:rPr>
              <w:t>2022</w:t>
            </w:r>
            <w:r>
              <w:rPr>
                <w:rFonts w:hint="eastAsia" w:ascii="方正楷体简体" w:hAnsi="方正楷体简体" w:cs="Times New Roman"/>
                <w:sz w:val="32"/>
                <w:szCs w:val="32"/>
              </w:rPr>
              <w:t>年度）</w:t>
            </w:r>
          </w:p>
        </w:tc>
      </w:tr>
      <w:tr>
        <w:tblPrEx>
          <w:tblCellMar>
            <w:top w:w="0" w:type="dxa"/>
            <w:left w:w="0" w:type="dxa"/>
            <w:bottom w:w="0" w:type="dxa"/>
            <w:right w:w="0" w:type="dxa"/>
          </w:tblCellMar>
        </w:tblPrEx>
        <w:trPr>
          <w:gridAfter w:val="1"/>
          <w:wAfter w:w="18" w:type="dxa"/>
          <w:jc w:val="center"/>
        </w:trPr>
        <w:tc>
          <w:tcPr>
            <w:tcW w:w="110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ascii="方正楷体简体" w:hAnsi="方正楷体简体" w:cs="Times New Roman"/>
                <w:sz w:val="15"/>
                <w:szCs w:val="15"/>
              </w:rPr>
              <w:t>项目名称</w:t>
            </w:r>
          </w:p>
        </w:tc>
        <w:tc>
          <w:tcPr>
            <w:tcW w:w="7146" w:type="dxa"/>
            <w:gridSpan w:val="18"/>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　上年结转锅炉压力容器与特种设备安全监管</w:t>
            </w:r>
          </w:p>
        </w:tc>
      </w:tr>
      <w:tr>
        <w:tblPrEx>
          <w:tblCellMar>
            <w:top w:w="0" w:type="dxa"/>
            <w:left w:w="0" w:type="dxa"/>
            <w:bottom w:w="0" w:type="dxa"/>
            <w:right w:w="0" w:type="dxa"/>
          </w:tblCellMar>
        </w:tblPrEx>
        <w:trPr>
          <w:gridAfter w:val="1"/>
          <w:wAfter w:w="18" w:type="dxa"/>
          <w:jc w:val="center"/>
        </w:trPr>
        <w:tc>
          <w:tcPr>
            <w:tcW w:w="11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主管部门及代码</w:t>
            </w:r>
          </w:p>
        </w:tc>
        <w:tc>
          <w:tcPr>
            <w:tcW w:w="386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内蒙古自治区市场监督管理局部门</w:t>
            </w:r>
          </w:p>
        </w:tc>
        <w:tc>
          <w:tcPr>
            <w:tcW w:w="10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实施单位</w:t>
            </w:r>
          </w:p>
        </w:tc>
        <w:tc>
          <w:tcPr>
            <w:tcW w:w="2207" w:type="dxa"/>
            <w:gridSpan w:val="8"/>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自治区特种设备检验研究院、自治区特种设备检验研究院呼伦贝尔分院、自治区特种设备检验研究院兴安分院、自治区特种设备检验研究院通辽分院、自治区特种设备检验研究院锡林郭勒分院、自治区特种设备检验研究院乌兰察布分院、自治区特种设备检验研究院鄂尔多斯分院、自治区特种设备检验研究院巴彦淖尔分院、自治区特种设备检验研究院阿拉善分院、自治区特种设备检验研究院包头分院、自治区特种设备检验研究院乌海分院、自治区特种设备检验研究院赤峰分院、自治区特种设备检验研究院二连浩特分院、自治区特种设备检验研究院满洲里分院</w:t>
            </w:r>
          </w:p>
        </w:tc>
      </w:tr>
      <w:tr>
        <w:tblPrEx>
          <w:tblCellMar>
            <w:top w:w="0" w:type="dxa"/>
            <w:left w:w="0" w:type="dxa"/>
            <w:bottom w:w="0" w:type="dxa"/>
            <w:right w:w="0" w:type="dxa"/>
          </w:tblCellMar>
        </w:tblPrEx>
        <w:trPr>
          <w:gridAfter w:val="1"/>
          <w:wAfter w:w="18" w:type="dxa"/>
          <w:jc w:val="center"/>
        </w:trPr>
        <w:tc>
          <w:tcPr>
            <w:tcW w:w="110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项目资金 （万元）</w:t>
            </w:r>
          </w:p>
        </w:tc>
        <w:tc>
          <w:tcPr>
            <w:tcW w:w="1503"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w:t>
            </w:r>
          </w:p>
        </w:tc>
        <w:tc>
          <w:tcPr>
            <w:tcW w:w="12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年初预算数</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全年预算数</w:t>
            </w:r>
          </w:p>
        </w:tc>
        <w:tc>
          <w:tcPr>
            <w:tcW w:w="10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全年执行数</w:t>
            </w:r>
          </w:p>
        </w:tc>
        <w:tc>
          <w:tcPr>
            <w:tcW w:w="6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分值</w:t>
            </w:r>
          </w:p>
        </w:tc>
        <w:tc>
          <w:tcPr>
            <w:tcW w:w="88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执行率</w:t>
            </w:r>
          </w:p>
        </w:tc>
        <w:tc>
          <w:tcPr>
            <w:tcW w:w="63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得分</w:t>
            </w:r>
          </w:p>
        </w:tc>
      </w:tr>
      <w:tr>
        <w:tblPrEx>
          <w:tblCellMar>
            <w:top w:w="0" w:type="dxa"/>
            <w:left w:w="0" w:type="dxa"/>
            <w:bottom w:w="0" w:type="dxa"/>
            <w:right w:w="0" w:type="dxa"/>
          </w:tblCellMar>
        </w:tblPrEx>
        <w:trPr>
          <w:gridAfter w:val="1"/>
          <w:wAfter w:w="18" w:type="dxa"/>
          <w:jc w:val="center"/>
        </w:trPr>
        <w:tc>
          <w:tcPr>
            <w:tcW w:w="0" w:type="auto"/>
            <w:gridSpan w:val="2"/>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1503"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年度资金总额</w:t>
            </w:r>
          </w:p>
        </w:tc>
        <w:tc>
          <w:tcPr>
            <w:tcW w:w="12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1,761.10</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1,615.32</w:t>
            </w:r>
          </w:p>
        </w:tc>
        <w:tc>
          <w:tcPr>
            <w:tcW w:w="10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1,615.32</w:t>
            </w:r>
          </w:p>
        </w:tc>
        <w:tc>
          <w:tcPr>
            <w:tcW w:w="6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88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100</w:t>
            </w:r>
            <w:r>
              <w:rPr>
                <w:rFonts w:hint="eastAsia" w:cs="Times New Roman"/>
                <w:sz w:val="15"/>
                <w:szCs w:val="15"/>
              </w:rPr>
              <w:t>%</w:t>
            </w:r>
          </w:p>
        </w:tc>
        <w:tc>
          <w:tcPr>
            <w:tcW w:w="63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10</w:t>
            </w:r>
          </w:p>
        </w:tc>
      </w:tr>
      <w:tr>
        <w:tblPrEx>
          <w:tblCellMar>
            <w:top w:w="0" w:type="dxa"/>
            <w:left w:w="0" w:type="dxa"/>
            <w:bottom w:w="0" w:type="dxa"/>
            <w:right w:w="0" w:type="dxa"/>
          </w:tblCellMar>
        </w:tblPrEx>
        <w:trPr>
          <w:gridAfter w:val="1"/>
          <w:wAfter w:w="18" w:type="dxa"/>
          <w:jc w:val="center"/>
        </w:trPr>
        <w:tc>
          <w:tcPr>
            <w:tcW w:w="0" w:type="auto"/>
            <w:gridSpan w:val="2"/>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1503"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其中：财政拨款</w:t>
            </w:r>
          </w:p>
        </w:tc>
        <w:tc>
          <w:tcPr>
            <w:tcW w:w="12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1,761.10</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1,615.32</w:t>
            </w:r>
          </w:p>
        </w:tc>
        <w:tc>
          <w:tcPr>
            <w:tcW w:w="10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1,615.32</w:t>
            </w:r>
          </w:p>
        </w:tc>
        <w:tc>
          <w:tcPr>
            <w:tcW w:w="6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c>
          <w:tcPr>
            <w:tcW w:w="88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100</w:t>
            </w:r>
            <w:r>
              <w:rPr>
                <w:rFonts w:hint="eastAsia" w:cs="Times New Roman"/>
                <w:sz w:val="15"/>
                <w:szCs w:val="15"/>
              </w:rPr>
              <w:t>%</w:t>
            </w:r>
          </w:p>
        </w:tc>
        <w:tc>
          <w:tcPr>
            <w:tcW w:w="63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r>
      <w:tr>
        <w:tblPrEx>
          <w:tblCellMar>
            <w:top w:w="0" w:type="dxa"/>
            <w:left w:w="0" w:type="dxa"/>
            <w:bottom w:w="0" w:type="dxa"/>
            <w:right w:w="0" w:type="dxa"/>
          </w:tblCellMar>
        </w:tblPrEx>
        <w:trPr>
          <w:gridAfter w:val="1"/>
          <w:wAfter w:w="18" w:type="dxa"/>
          <w:jc w:val="center"/>
        </w:trPr>
        <w:tc>
          <w:tcPr>
            <w:tcW w:w="0" w:type="auto"/>
            <w:gridSpan w:val="2"/>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1503"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其他资金</w:t>
            </w:r>
          </w:p>
        </w:tc>
        <w:tc>
          <w:tcPr>
            <w:tcW w:w="12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Times New Roman" w:cs="Times New Roman"/>
                <w:sz w:val="15"/>
                <w:szCs w:val="15"/>
              </w:rPr>
            </w:pPr>
          </w:p>
        </w:tc>
        <w:tc>
          <w:tcPr>
            <w:tcW w:w="10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Times New Roman" w:cs="Times New Roman"/>
                <w:sz w:val="15"/>
                <w:szCs w:val="15"/>
              </w:rPr>
            </w:pPr>
          </w:p>
        </w:tc>
        <w:tc>
          <w:tcPr>
            <w:tcW w:w="6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c>
          <w:tcPr>
            <w:tcW w:w="88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c>
          <w:tcPr>
            <w:tcW w:w="63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r>
      <w:tr>
        <w:tblPrEx>
          <w:tblCellMar>
            <w:top w:w="0" w:type="dxa"/>
            <w:left w:w="0" w:type="dxa"/>
            <w:bottom w:w="0" w:type="dxa"/>
            <w:right w:w="0" w:type="dxa"/>
          </w:tblCellMar>
        </w:tblPrEx>
        <w:trPr>
          <w:gridAfter w:val="1"/>
          <w:wAfter w:w="18" w:type="dxa"/>
          <w:jc w:val="center"/>
        </w:trPr>
        <w:tc>
          <w:tcPr>
            <w:tcW w:w="81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年度总体目标</w:t>
            </w:r>
          </w:p>
        </w:tc>
        <w:tc>
          <w:tcPr>
            <w:tcW w:w="4150" w:type="dxa"/>
            <w:gridSpan w:val="8"/>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cs="Times New Roman"/>
                <w:sz w:val="15"/>
                <w:szCs w:val="15"/>
              </w:rPr>
            </w:pPr>
            <w:r>
              <w:rPr>
                <w:rFonts w:hint="eastAsia" w:cs="Times New Roman"/>
                <w:sz w:val="15"/>
                <w:szCs w:val="15"/>
              </w:rPr>
              <w:t>预期目标</w:t>
            </w:r>
          </w:p>
        </w:tc>
        <w:tc>
          <w:tcPr>
            <w:tcW w:w="3284" w:type="dxa"/>
            <w:gridSpan w:val="11"/>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cs="Times New Roman"/>
                <w:sz w:val="15"/>
                <w:szCs w:val="15"/>
              </w:rPr>
            </w:pPr>
            <w:r>
              <w:rPr>
                <w:rFonts w:hint="eastAsia" w:cs="Times New Roman"/>
                <w:sz w:val="15"/>
                <w:szCs w:val="15"/>
              </w:rPr>
              <w:t>实际完成情况</w:t>
            </w: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4150" w:type="dxa"/>
            <w:gridSpan w:val="8"/>
            <w:tcBorders>
              <w:top w:val="nil"/>
              <w:left w:val="nil"/>
              <w:bottom w:val="single" w:color="auto" w:sz="8" w:space="0"/>
              <w:right w:val="single" w:color="auto" w:sz="8" w:space="0"/>
            </w:tcBorders>
            <w:tcMar>
              <w:top w:w="0" w:type="dxa"/>
              <w:left w:w="108" w:type="dxa"/>
              <w:bottom w:w="0" w:type="dxa"/>
              <w:right w:w="108" w:type="dxa"/>
            </w:tcMar>
          </w:tcPr>
          <w:p>
            <w:pPr>
              <w:rPr>
                <w:rFonts w:cs="Times New Roman"/>
                <w:sz w:val="15"/>
                <w:szCs w:val="15"/>
              </w:rPr>
            </w:pPr>
            <w:r>
              <w:rPr>
                <w:rFonts w:cs="Times New Roman"/>
                <w:sz w:val="15"/>
                <w:szCs w:val="15"/>
              </w:rPr>
              <w:t>1</w:t>
            </w:r>
            <w:r>
              <w:rPr>
                <w:rFonts w:hint="eastAsia" w:cs="Times New Roman"/>
                <w:sz w:val="15"/>
                <w:szCs w:val="15"/>
              </w:rPr>
              <w:t>完成</w:t>
            </w:r>
            <w:r>
              <w:rPr>
                <w:rFonts w:cs="Times New Roman"/>
                <w:sz w:val="15"/>
                <w:szCs w:val="15"/>
              </w:rPr>
              <w:t>特种设备检验检测</w:t>
            </w:r>
            <w:r>
              <w:rPr>
                <w:rFonts w:hint="eastAsia" w:cs="Times New Roman"/>
                <w:sz w:val="15"/>
                <w:szCs w:val="15"/>
              </w:rPr>
              <w:t>任务</w:t>
            </w:r>
            <w:r>
              <w:rPr>
                <w:rFonts w:cs="Times New Roman"/>
                <w:sz w:val="15"/>
                <w:szCs w:val="15"/>
              </w:rPr>
              <w:t>。</w:t>
            </w:r>
          </w:p>
          <w:p>
            <w:pPr>
              <w:rPr>
                <w:rFonts w:cs="Times New Roman"/>
                <w:sz w:val="15"/>
                <w:szCs w:val="15"/>
              </w:rPr>
            </w:pPr>
            <w:r>
              <w:rPr>
                <w:rFonts w:cs="Times New Roman"/>
                <w:sz w:val="15"/>
                <w:szCs w:val="15"/>
              </w:rPr>
              <w:t>2保证特种设备安全运行。</w:t>
            </w:r>
          </w:p>
          <w:p>
            <w:pPr>
              <w:rPr>
                <w:rFonts w:cs="Times New Roman"/>
                <w:sz w:val="15"/>
                <w:szCs w:val="15"/>
              </w:rPr>
            </w:pPr>
            <w:r>
              <w:rPr>
                <w:rFonts w:cs="Times New Roman"/>
                <w:sz w:val="15"/>
                <w:szCs w:val="15"/>
              </w:rPr>
              <w:t>3技术支撑特种设备的安全监察，防止和减少事故发生，保障人民群众生命和财产安全。</w:t>
            </w:r>
          </w:p>
          <w:p>
            <w:pPr>
              <w:rPr>
                <w:rFonts w:cs="Times New Roman"/>
                <w:sz w:val="15"/>
                <w:szCs w:val="15"/>
              </w:rPr>
            </w:pPr>
            <w:r>
              <w:rPr>
                <w:rFonts w:cs="Times New Roman"/>
                <w:sz w:val="15"/>
                <w:szCs w:val="15"/>
              </w:rPr>
              <w:t>4提高特种设备检验人员操作技能，促进特种设备安全运行。</w:t>
            </w:r>
          </w:p>
        </w:tc>
        <w:tc>
          <w:tcPr>
            <w:tcW w:w="3284" w:type="dxa"/>
            <w:gridSpan w:val="11"/>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继续完成了</w:t>
            </w:r>
            <w:r>
              <w:rPr>
                <w:rFonts w:cs="Times New Roman"/>
                <w:sz w:val="15"/>
                <w:szCs w:val="15"/>
              </w:rPr>
              <w:t>2021年的特种设备检验任务，保证了特种设备安全运行。</w:t>
            </w:r>
          </w:p>
        </w:tc>
      </w:tr>
      <w:tr>
        <w:tblPrEx>
          <w:tblCellMar>
            <w:top w:w="0" w:type="dxa"/>
            <w:left w:w="0" w:type="dxa"/>
            <w:bottom w:w="0" w:type="dxa"/>
            <w:right w:w="0" w:type="dxa"/>
          </w:tblCellMar>
        </w:tblPrEx>
        <w:trPr>
          <w:gridAfter w:val="1"/>
          <w:wAfter w:w="18" w:type="dxa"/>
          <w:jc w:val="center"/>
        </w:trPr>
        <w:tc>
          <w:tcPr>
            <w:tcW w:w="81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绩  效 指  标（90）</w:t>
            </w:r>
          </w:p>
        </w:tc>
        <w:tc>
          <w:tcPr>
            <w:tcW w:w="81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一级指标</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二级指标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三级指标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年度指标值</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实际完成值</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分值</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得分</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偏差原因分析及改进措施</w:t>
            </w: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819"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产出指标（50）</w:t>
            </w:r>
          </w:p>
        </w:tc>
        <w:tc>
          <w:tcPr>
            <w:tcW w:w="921"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数量指标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指标1：检验数量</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≥6</w:t>
            </w:r>
            <w:r>
              <w:rPr>
                <w:rFonts w:cs="Times New Roman"/>
                <w:sz w:val="15"/>
                <w:szCs w:val="15"/>
              </w:rPr>
              <w:t>890</w:t>
            </w:r>
            <w:r>
              <w:rPr>
                <w:rFonts w:hint="eastAsia" w:cs="Times New Roman"/>
                <w:sz w:val="15"/>
                <w:szCs w:val="15"/>
              </w:rPr>
              <w:t>0台/套</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6</w:t>
            </w:r>
            <w:r>
              <w:rPr>
                <w:rFonts w:cs="Times New Roman"/>
                <w:sz w:val="15"/>
                <w:szCs w:val="15"/>
              </w:rPr>
              <w:t>890</w:t>
            </w:r>
            <w:r>
              <w:rPr>
                <w:rFonts w:hint="eastAsia" w:cs="Times New Roman"/>
                <w:sz w:val="15"/>
                <w:szCs w:val="15"/>
              </w:rPr>
              <w:t>0台/套</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7.5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指标2：检验报告数量</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≥6</w:t>
            </w:r>
            <w:r>
              <w:rPr>
                <w:rFonts w:cs="Times New Roman"/>
                <w:sz w:val="15"/>
                <w:szCs w:val="15"/>
              </w:rPr>
              <w:t>000</w:t>
            </w:r>
            <w:r>
              <w:rPr>
                <w:rFonts w:hint="eastAsia" w:cs="Times New Roman"/>
                <w:sz w:val="15"/>
                <w:szCs w:val="15"/>
              </w:rPr>
              <w:t>份</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≥6</w:t>
            </w:r>
            <w:r>
              <w:rPr>
                <w:rFonts w:cs="Times New Roman"/>
                <w:sz w:val="15"/>
                <w:szCs w:val="15"/>
              </w:rPr>
              <w:t>000</w:t>
            </w:r>
            <w:r>
              <w:rPr>
                <w:rFonts w:hint="eastAsia" w:cs="Times New Roman"/>
                <w:sz w:val="15"/>
                <w:szCs w:val="15"/>
              </w:rPr>
              <w:t>份</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质量指标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指标1：检验报告合格率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=100%</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100%</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指标2：检测完成率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=100%</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100%</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时效指标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指标1：年度检查任务按时完成率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=100%</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100%</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0" w:type="auto"/>
            <w:vMerge w:val="continue"/>
            <w:tcBorders>
              <w:top w:val="nil"/>
              <w:left w:val="nil"/>
              <w:bottom w:val="single" w:color="auto" w:sz="8" w:space="0"/>
              <w:right w:val="single" w:color="auto" w:sz="8" w:space="0"/>
            </w:tcBorders>
            <w:vAlign w:val="center"/>
          </w:tcPr>
          <w:p>
            <w:pP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指标2：项目完成时间</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w:t>
            </w:r>
            <w:r>
              <w:rPr>
                <w:rFonts w:cs="Times New Roman"/>
                <w:sz w:val="15"/>
                <w:szCs w:val="15"/>
              </w:rPr>
              <w:t>1</w:t>
            </w:r>
            <w:r>
              <w:rPr>
                <w:rFonts w:hint="eastAsia" w:cs="Times New Roman"/>
                <w:sz w:val="15"/>
                <w:szCs w:val="15"/>
              </w:rPr>
              <w:t>年</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cs="Times New Roman"/>
                <w:sz w:val="15"/>
                <w:szCs w:val="15"/>
              </w:rPr>
              <w:t>1</w:t>
            </w:r>
            <w:r>
              <w:rPr>
                <w:rFonts w:hint="eastAsia" w:cs="Times New Roman"/>
                <w:sz w:val="15"/>
                <w:szCs w:val="15"/>
              </w:rPr>
              <w:t>年</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成本指标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指标1：总成本</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w:t>
            </w:r>
            <w:r>
              <w:rPr>
                <w:rFonts w:cs="Times New Roman"/>
                <w:sz w:val="15"/>
                <w:szCs w:val="15"/>
              </w:rPr>
              <w:t>1,761.10</w:t>
            </w:r>
            <w:r>
              <w:rPr>
                <w:rFonts w:hint="eastAsia" w:cs="Times New Roman"/>
                <w:sz w:val="15"/>
                <w:szCs w:val="15"/>
              </w:rPr>
              <w:t>万元</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cs="Times New Roman"/>
                <w:sz w:val="15"/>
                <w:szCs w:val="15"/>
              </w:rPr>
              <w:t>1,615.32</w:t>
            </w:r>
            <w:r>
              <w:rPr>
                <w:rFonts w:hint="eastAsia" w:cs="Times New Roman"/>
                <w:sz w:val="15"/>
                <w:szCs w:val="15"/>
              </w:rPr>
              <w:t>万元</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819" w:type="dxa"/>
            <w:gridSpan w:val="2"/>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效益指标（30）</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经济效益指标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指标1：效益增长率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w:t>
            </w:r>
            <w:r>
              <w:rPr>
                <w:rFonts w:cs="Times New Roman"/>
                <w:sz w:val="15"/>
                <w:szCs w:val="15"/>
              </w:rPr>
              <w:t>25</w:t>
            </w:r>
            <w:r>
              <w:rPr>
                <w:rFonts w:hint="eastAsia" w:cs="Times New Roman"/>
                <w:sz w:val="15"/>
                <w:szCs w:val="15"/>
              </w:rPr>
              <w:t>%</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cs="Times New Roman"/>
                <w:sz w:val="15"/>
                <w:szCs w:val="15"/>
              </w:rPr>
              <w:t>25</w:t>
            </w:r>
            <w:r>
              <w:rPr>
                <w:rFonts w:hint="eastAsia" w:cs="Times New Roman"/>
                <w:sz w:val="15"/>
                <w:szCs w:val="15"/>
              </w:rPr>
              <w:t>%</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10</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w:t>
            </w:r>
            <w:r>
              <w:rPr>
                <w:rFonts w:hint="eastAsia" w:cs="Times New Roman"/>
                <w:sz w:val="15"/>
                <w:szCs w:val="15"/>
              </w:rPr>
              <w:t>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819" w:type="dxa"/>
            <w:gridSpan w:val="2"/>
            <w:vMerge w:val="continue"/>
            <w:tcBorders>
              <w:left w:val="nil"/>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社会效益指标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指标1：产品质量合格率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≥9</w:t>
            </w:r>
            <w:r>
              <w:rPr>
                <w:rFonts w:cs="Times New Roman"/>
                <w:sz w:val="15"/>
                <w:szCs w:val="15"/>
              </w:rPr>
              <w:t>0</w:t>
            </w:r>
            <w:r>
              <w:rPr>
                <w:rFonts w:hint="eastAsia" w:cs="Times New Roman"/>
                <w:sz w:val="15"/>
                <w:szCs w:val="15"/>
              </w:rPr>
              <w:t>%</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cs="Times New Roman"/>
                <w:sz w:val="15"/>
                <w:szCs w:val="15"/>
              </w:rPr>
              <w:t>90</w:t>
            </w:r>
            <w:r>
              <w:rPr>
                <w:rFonts w:hint="eastAsia" w:cs="Times New Roman"/>
                <w:sz w:val="15"/>
                <w:szCs w:val="15"/>
              </w:rPr>
              <w:t>%</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w:t>
            </w:r>
            <w:r>
              <w:rPr>
                <w:rFonts w:cs="Times New Roman"/>
                <w:sz w:val="15"/>
                <w:szCs w:val="15"/>
              </w:rPr>
              <w:t>0</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w:t>
            </w:r>
            <w:r>
              <w:rPr>
                <w:rFonts w:cs="Times New Roman"/>
                <w:sz w:val="15"/>
                <w:szCs w:val="15"/>
              </w:rPr>
              <w:t>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819" w:type="dxa"/>
            <w:gridSpan w:val="2"/>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可持续影响指标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指标1：后处理率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≥1</w:t>
            </w:r>
            <w:r>
              <w:rPr>
                <w:rFonts w:cs="Times New Roman"/>
                <w:sz w:val="15"/>
                <w:szCs w:val="15"/>
              </w:rPr>
              <w:t>00</w:t>
            </w:r>
            <w:r>
              <w:rPr>
                <w:rFonts w:hint="eastAsia" w:cs="Times New Roman"/>
                <w:sz w:val="15"/>
                <w:szCs w:val="15"/>
              </w:rPr>
              <w:t>%</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cs="Times New Roman"/>
                <w:sz w:val="15"/>
                <w:szCs w:val="15"/>
              </w:rPr>
              <w:t>100</w:t>
            </w:r>
            <w:r>
              <w:rPr>
                <w:rFonts w:hint="eastAsia" w:cs="Times New Roman"/>
                <w:sz w:val="15"/>
                <w:szCs w:val="15"/>
              </w:rPr>
              <w:t>%</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w:t>
            </w:r>
            <w:r>
              <w:rPr>
                <w:rFonts w:cs="Times New Roman"/>
                <w:sz w:val="15"/>
                <w:szCs w:val="15"/>
              </w:rPr>
              <w:t>0</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w:t>
            </w:r>
            <w:r>
              <w:rPr>
                <w:rFonts w:cs="Times New Roman"/>
                <w:sz w:val="15"/>
                <w:szCs w:val="15"/>
              </w:rPr>
              <w:t>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81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满意度 指  标（10）</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服务对象满意度指标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指标1：公众满意度</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≥85%</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cs="Times New Roman"/>
                <w:sz w:val="15"/>
                <w:szCs w:val="15"/>
              </w:rPr>
              <w:t>98</w:t>
            </w:r>
            <w:r>
              <w:rPr>
                <w:rFonts w:hint="eastAsia" w:cs="Times New Roman"/>
                <w:sz w:val="15"/>
                <w:szCs w:val="15"/>
              </w:rPr>
              <w:t>%</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5861" w:type="dxa"/>
            <w:gridSpan w:val="11"/>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总    分</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100</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99.94</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w:t>
            </w:r>
          </w:p>
        </w:tc>
      </w:tr>
      <w:tr>
        <w:tblPrEx>
          <w:tblCellMar>
            <w:top w:w="0" w:type="dxa"/>
            <w:left w:w="0" w:type="dxa"/>
            <w:bottom w:w="0" w:type="dxa"/>
            <w:right w:w="0" w:type="dxa"/>
          </w:tblCellMar>
        </w:tblPrEx>
        <w:trPr>
          <w:jc w:val="center"/>
        </w:trPr>
        <w:tc>
          <w:tcPr>
            <w:tcW w:w="818" w:type="dxa"/>
            <w:vAlign w:val="center"/>
          </w:tcPr>
          <w:p>
            <w:pPr>
              <w:rPr>
                <w:rFonts w:cs="Times New Roman"/>
              </w:rPr>
            </w:pPr>
            <w:r>
              <w:rPr>
                <w:rFonts w:hint="eastAsia" w:cs="Times New Roman"/>
              </w:rPr>
              <w:t> </w:t>
            </w:r>
          </w:p>
        </w:tc>
        <w:tc>
          <w:tcPr>
            <w:tcW w:w="288" w:type="dxa"/>
            <w:vAlign w:val="center"/>
          </w:tcPr>
          <w:p>
            <w:pPr>
              <w:rPr>
                <w:rFonts w:cs="Times New Roman"/>
              </w:rPr>
            </w:pPr>
            <w:r>
              <w:rPr>
                <w:rFonts w:hint="eastAsia" w:cs="Times New Roman"/>
              </w:rPr>
              <w:t> </w:t>
            </w:r>
          </w:p>
        </w:tc>
        <w:tc>
          <w:tcPr>
            <w:tcW w:w="531" w:type="dxa"/>
            <w:vAlign w:val="center"/>
          </w:tcPr>
          <w:p>
            <w:pPr>
              <w:rPr>
                <w:rFonts w:cs="Times New Roman"/>
              </w:rPr>
            </w:pPr>
            <w:r>
              <w:rPr>
                <w:rFonts w:hint="eastAsia" w:cs="Times New Roman"/>
              </w:rPr>
              <w:t> </w:t>
            </w:r>
          </w:p>
        </w:tc>
        <w:tc>
          <w:tcPr>
            <w:tcW w:w="972" w:type="dxa"/>
            <w:gridSpan w:val="2"/>
            <w:vAlign w:val="center"/>
          </w:tcPr>
          <w:p>
            <w:pPr>
              <w:rPr>
                <w:rFonts w:cs="Times New Roman"/>
              </w:rPr>
            </w:pPr>
            <w:r>
              <w:rPr>
                <w:rFonts w:hint="eastAsia" w:cs="Times New Roman"/>
              </w:rPr>
              <w:t> </w:t>
            </w:r>
          </w:p>
        </w:tc>
        <w:tc>
          <w:tcPr>
            <w:tcW w:w="240" w:type="dxa"/>
            <w:vAlign w:val="center"/>
          </w:tcPr>
          <w:p>
            <w:pPr>
              <w:rPr>
                <w:rFonts w:cs="Times New Roman"/>
              </w:rPr>
            </w:pPr>
            <w:r>
              <w:rPr>
                <w:rFonts w:hint="eastAsia" w:cs="Times New Roman"/>
              </w:rPr>
              <w:t> </w:t>
            </w:r>
          </w:p>
        </w:tc>
        <w:tc>
          <w:tcPr>
            <w:tcW w:w="1029" w:type="dxa"/>
            <w:vAlign w:val="center"/>
          </w:tcPr>
          <w:p>
            <w:pPr>
              <w:rPr>
                <w:rFonts w:cs="Times New Roman"/>
              </w:rPr>
            </w:pPr>
            <w:r>
              <w:rPr>
                <w:rFonts w:hint="eastAsia" w:cs="Times New Roman"/>
              </w:rPr>
              <w:t> </w:t>
            </w:r>
          </w:p>
        </w:tc>
        <w:tc>
          <w:tcPr>
            <w:tcW w:w="240" w:type="dxa"/>
            <w:vAlign w:val="center"/>
          </w:tcPr>
          <w:p>
            <w:pPr>
              <w:rPr>
                <w:rFonts w:cs="Times New Roman"/>
              </w:rPr>
            </w:pPr>
            <w:r>
              <w:rPr>
                <w:rFonts w:hint="eastAsia" w:cs="Times New Roman"/>
              </w:rPr>
              <w:t> </w:t>
            </w:r>
          </w:p>
        </w:tc>
        <w:tc>
          <w:tcPr>
            <w:tcW w:w="870" w:type="dxa"/>
            <w:gridSpan w:val="2"/>
            <w:vAlign w:val="center"/>
          </w:tcPr>
          <w:p>
            <w:pPr>
              <w:rPr>
                <w:rFonts w:cs="Times New Roman"/>
              </w:rPr>
            </w:pPr>
            <w:r>
              <w:rPr>
                <w:rFonts w:hint="eastAsia" w:cs="Times New Roman"/>
              </w:rPr>
              <w:t> </w:t>
            </w:r>
          </w:p>
        </w:tc>
        <w:tc>
          <w:tcPr>
            <w:tcW w:w="873" w:type="dxa"/>
            <w:vAlign w:val="center"/>
          </w:tcPr>
          <w:p>
            <w:pPr>
              <w:rPr>
                <w:rFonts w:cs="Times New Roman"/>
              </w:rPr>
            </w:pPr>
            <w:r>
              <w:rPr>
                <w:rFonts w:hint="eastAsia" w:cs="Times New Roman"/>
              </w:rPr>
              <w:t> </w:t>
            </w:r>
          </w:p>
        </w:tc>
        <w:tc>
          <w:tcPr>
            <w:tcW w:w="240" w:type="dxa"/>
            <w:gridSpan w:val="2"/>
            <w:vAlign w:val="center"/>
          </w:tcPr>
          <w:p>
            <w:pPr>
              <w:rPr>
                <w:rFonts w:cs="Times New Roman"/>
              </w:rPr>
            </w:pPr>
            <w:r>
              <w:rPr>
                <w:rFonts w:hint="eastAsia" w:cs="Times New Roman"/>
              </w:rPr>
              <w:t> </w:t>
            </w:r>
          </w:p>
        </w:tc>
        <w:tc>
          <w:tcPr>
            <w:tcW w:w="411" w:type="dxa"/>
            <w:vAlign w:val="center"/>
          </w:tcPr>
          <w:p>
            <w:pPr>
              <w:rPr>
                <w:rFonts w:cs="Times New Roman"/>
              </w:rPr>
            </w:pPr>
            <w:r>
              <w:rPr>
                <w:rFonts w:hint="eastAsia" w:cs="Times New Roman"/>
              </w:rPr>
              <w:t> </w:t>
            </w:r>
          </w:p>
        </w:tc>
        <w:tc>
          <w:tcPr>
            <w:tcW w:w="240" w:type="dxa"/>
            <w:gridSpan w:val="2"/>
            <w:vAlign w:val="center"/>
          </w:tcPr>
          <w:p>
            <w:pPr>
              <w:rPr>
                <w:rFonts w:cs="Times New Roman"/>
              </w:rPr>
            </w:pPr>
            <w:r>
              <w:rPr>
                <w:rFonts w:hint="eastAsia" w:cs="Times New Roman"/>
              </w:rPr>
              <w:t> </w:t>
            </w:r>
          </w:p>
        </w:tc>
        <w:tc>
          <w:tcPr>
            <w:tcW w:w="370" w:type="dxa"/>
            <w:vAlign w:val="center"/>
          </w:tcPr>
          <w:p>
            <w:pPr>
              <w:rPr>
                <w:rFonts w:cs="Times New Roman"/>
              </w:rPr>
            </w:pPr>
            <w:r>
              <w:rPr>
                <w:rFonts w:hint="eastAsia" w:cs="Times New Roman"/>
              </w:rPr>
              <w:t> </w:t>
            </w:r>
          </w:p>
        </w:tc>
        <w:tc>
          <w:tcPr>
            <w:tcW w:w="513" w:type="dxa"/>
            <w:gridSpan w:val="2"/>
            <w:vAlign w:val="center"/>
          </w:tcPr>
          <w:p>
            <w:pPr>
              <w:rPr>
                <w:rFonts w:cs="Times New Roman"/>
              </w:rPr>
            </w:pPr>
            <w:r>
              <w:rPr>
                <w:rFonts w:hint="eastAsia" w:cs="Times New Roman"/>
              </w:rPr>
              <w:t> </w:t>
            </w:r>
          </w:p>
        </w:tc>
        <w:tc>
          <w:tcPr>
            <w:tcW w:w="635" w:type="dxa"/>
            <w:gridSpan w:val="2"/>
            <w:vAlign w:val="center"/>
          </w:tcPr>
          <w:p>
            <w:pPr>
              <w:rPr>
                <w:rFonts w:cs="Times New Roman"/>
              </w:rPr>
            </w:pPr>
            <w:r>
              <w:rPr>
                <w:rFonts w:hint="eastAsia" w:cs="Times New Roman"/>
              </w:rPr>
              <w:t> </w:t>
            </w:r>
          </w:p>
        </w:tc>
      </w:tr>
    </w:tbl>
    <w:p>
      <w:pPr>
        <w:rPr>
          <w:color w:val="0000FF"/>
          <w:sz w:val="32"/>
          <w:szCs w:val="32"/>
        </w:rPr>
      </w:pPr>
      <w:r>
        <w:rPr>
          <w:color w:val="0000FF"/>
          <w:sz w:val="32"/>
          <w:szCs w:val="32"/>
        </w:rPr>
        <w:br w:type="page"/>
      </w:r>
    </w:p>
    <w:tbl>
      <w:tblPr>
        <w:tblStyle w:val="9"/>
        <w:tblW w:w="8270" w:type="dxa"/>
        <w:jc w:val="center"/>
        <w:tblLayout w:type="autofit"/>
        <w:tblCellMar>
          <w:top w:w="0" w:type="dxa"/>
          <w:left w:w="0" w:type="dxa"/>
          <w:bottom w:w="0" w:type="dxa"/>
          <w:right w:w="0" w:type="dxa"/>
        </w:tblCellMar>
      </w:tblPr>
      <w:tblGrid>
        <w:gridCol w:w="818"/>
        <w:gridCol w:w="288"/>
        <w:gridCol w:w="531"/>
        <w:gridCol w:w="921"/>
        <w:gridCol w:w="51"/>
        <w:gridCol w:w="240"/>
        <w:gridCol w:w="1029"/>
        <w:gridCol w:w="240"/>
        <w:gridCol w:w="850"/>
        <w:gridCol w:w="20"/>
        <w:gridCol w:w="873"/>
        <w:gridCol w:w="184"/>
        <w:gridCol w:w="56"/>
        <w:gridCol w:w="411"/>
        <w:gridCol w:w="216"/>
        <w:gridCol w:w="24"/>
        <w:gridCol w:w="370"/>
        <w:gridCol w:w="493"/>
        <w:gridCol w:w="20"/>
        <w:gridCol w:w="617"/>
        <w:gridCol w:w="18"/>
      </w:tblGrid>
      <w:tr>
        <w:tblPrEx>
          <w:tblCellMar>
            <w:top w:w="0" w:type="dxa"/>
            <w:left w:w="0" w:type="dxa"/>
            <w:bottom w:w="0" w:type="dxa"/>
            <w:right w:w="0" w:type="dxa"/>
          </w:tblCellMar>
        </w:tblPrEx>
        <w:trPr>
          <w:gridAfter w:val="1"/>
          <w:wAfter w:w="18" w:type="dxa"/>
          <w:jc w:val="center"/>
        </w:trPr>
        <w:tc>
          <w:tcPr>
            <w:tcW w:w="8252" w:type="dxa"/>
            <w:gridSpan w:val="20"/>
            <w:tcMar>
              <w:top w:w="0" w:type="dxa"/>
              <w:left w:w="108" w:type="dxa"/>
              <w:bottom w:w="0" w:type="dxa"/>
              <w:right w:w="108" w:type="dxa"/>
            </w:tcMar>
          </w:tcPr>
          <w:p>
            <w:pPr>
              <w:spacing w:before="100" w:beforeAutospacing="1" w:after="100" w:afterAutospacing="1"/>
              <w:jc w:val="center"/>
              <w:rPr>
                <w:rFonts w:cs="Times New Roman"/>
              </w:rPr>
            </w:pPr>
            <w:r>
              <w:rPr>
                <w:rFonts w:hint="eastAsia" w:ascii="方正小标宋简体" w:eastAsia="方正小标宋简体" w:cs="Times New Roman"/>
                <w:spacing w:val="20"/>
                <w:sz w:val="44"/>
                <w:szCs w:val="44"/>
              </w:rPr>
              <w:t>项目支出绩效自评表</w:t>
            </w:r>
          </w:p>
        </w:tc>
      </w:tr>
      <w:tr>
        <w:tblPrEx>
          <w:tblCellMar>
            <w:top w:w="0" w:type="dxa"/>
            <w:left w:w="0" w:type="dxa"/>
            <w:bottom w:w="0" w:type="dxa"/>
            <w:right w:w="0" w:type="dxa"/>
          </w:tblCellMar>
        </w:tblPrEx>
        <w:trPr>
          <w:gridAfter w:val="1"/>
          <w:wAfter w:w="18" w:type="dxa"/>
          <w:jc w:val="center"/>
        </w:trPr>
        <w:tc>
          <w:tcPr>
            <w:tcW w:w="8252" w:type="dxa"/>
            <w:gridSpan w:val="20"/>
            <w:tcMar>
              <w:top w:w="0" w:type="dxa"/>
              <w:left w:w="108" w:type="dxa"/>
              <w:bottom w:w="0" w:type="dxa"/>
              <w:right w:w="108" w:type="dxa"/>
            </w:tcMar>
          </w:tcPr>
          <w:p>
            <w:pPr>
              <w:spacing w:before="100" w:beforeAutospacing="1" w:after="100" w:afterAutospacing="1"/>
              <w:jc w:val="center"/>
              <w:rPr>
                <w:rFonts w:cs="Times New Roman"/>
              </w:rPr>
            </w:pPr>
            <w:r>
              <w:rPr>
                <w:rFonts w:hint="eastAsia" w:ascii="方正楷体简体" w:hAnsi="方正楷体简体" w:cs="Times New Roman"/>
                <w:sz w:val="32"/>
                <w:szCs w:val="32"/>
              </w:rPr>
              <w:t>（</w:t>
            </w:r>
            <w:r>
              <w:rPr>
                <w:rFonts w:ascii="方正楷体简体" w:hAnsi="方正楷体简体" w:cs="Times New Roman"/>
                <w:sz w:val="32"/>
                <w:szCs w:val="32"/>
              </w:rPr>
              <w:t>2022</w:t>
            </w:r>
            <w:r>
              <w:rPr>
                <w:rFonts w:hint="eastAsia" w:ascii="方正楷体简体" w:hAnsi="方正楷体简体" w:cs="Times New Roman"/>
                <w:sz w:val="32"/>
                <w:szCs w:val="32"/>
              </w:rPr>
              <w:t>年度）</w:t>
            </w:r>
          </w:p>
        </w:tc>
      </w:tr>
      <w:tr>
        <w:tblPrEx>
          <w:tblCellMar>
            <w:top w:w="0" w:type="dxa"/>
            <w:left w:w="0" w:type="dxa"/>
            <w:bottom w:w="0" w:type="dxa"/>
            <w:right w:w="0" w:type="dxa"/>
          </w:tblCellMar>
        </w:tblPrEx>
        <w:trPr>
          <w:gridAfter w:val="1"/>
          <w:wAfter w:w="18" w:type="dxa"/>
          <w:jc w:val="center"/>
        </w:trPr>
        <w:tc>
          <w:tcPr>
            <w:tcW w:w="1106"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ascii="方正楷体简体" w:hAnsi="方正楷体简体" w:cs="Times New Roman"/>
                <w:sz w:val="15"/>
                <w:szCs w:val="15"/>
              </w:rPr>
              <w:t>项目名称</w:t>
            </w:r>
          </w:p>
        </w:tc>
        <w:tc>
          <w:tcPr>
            <w:tcW w:w="7146" w:type="dxa"/>
            <w:gridSpan w:val="18"/>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　基于动力学分析的高速电梯安全运行检测与孪生可视化技术研究</w:t>
            </w:r>
          </w:p>
        </w:tc>
      </w:tr>
      <w:tr>
        <w:tblPrEx>
          <w:tblCellMar>
            <w:top w:w="0" w:type="dxa"/>
            <w:left w:w="0" w:type="dxa"/>
            <w:bottom w:w="0" w:type="dxa"/>
            <w:right w:w="0" w:type="dxa"/>
          </w:tblCellMar>
        </w:tblPrEx>
        <w:trPr>
          <w:gridAfter w:val="1"/>
          <w:wAfter w:w="18" w:type="dxa"/>
          <w:jc w:val="center"/>
        </w:trPr>
        <w:tc>
          <w:tcPr>
            <w:tcW w:w="110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主管部门及代码</w:t>
            </w:r>
          </w:p>
        </w:tc>
        <w:tc>
          <w:tcPr>
            <w:tcW w:w="3862"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内蒙古自治区市场监督管理局部门</w:t>
            </w:r>
          </w:p>
        </w:tc>
        <w:tc>
          <w:tcPr>
            <w:tcW w:w="10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实施单位</w:t>
            </w:r>
          </w:p>
        </w:tc>
        <w:tc>
          <w:tcPr>
            <w:tcW w:w="2207" w:type="dxa"/>
            <w:gridSpan w:val="8"/>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自治区特种设备检验研究院、</w:t>
            </w:r>
          </w:p>
        </w:tc>
      </w:tr>
      <w:tr>
        <w:tblPrEx>
          <w:tblCellMar>
            <w:top w:w="0" w:type="dxa"/>
            <w:left w:w="0" w:type="dxa"/>
            <w:bottom w:w="0" w:type="dxa"/>
            <w:right w:w="0" w:type="dxa"/>
          </w:tblCellMar>
        </w:tblPrEx>
        <w:trPr>
          <w:gridAfter w:val="1"/>
          <w:wAfter w:w="18" w:type="dxa"/>
          <w:jc w:val="center"/>
        </w:trPr>
        <w:tc>
          <w:tcPr>
            <w:tcW w:w="110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项目资金 （万元）</w:t>
            </w:r>
          </w:p>
        </w:tc>
        <w:tc>
          <w:tcPr>
            <w:tcW w:w="1503"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w:t>
            </w:r>
          </w:p>
        </w:tc>
        <w:tc>
          <w:tcPr>
            <w:tcW w:w="12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年初预算数</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全年预算数</w:t>
            </w:r>
          </w:p>
        </w:tc>
        <w:tc>
          <w:tcPr>
            <w:tcW w:w="10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全年执行数</w:t>
            </w:r>
          </w:p>
        </w:tc>
        <w:tc>
          <w:tcPr>
            <w:tcW w:w="6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分值</w:t>
            </w:r>
          </w:p>
        </w:tc>
        <w:tc>
          <w:tcPr>
            <w:tcW w:w="88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执行率</w:t>
            </w:r>
          </w:p>
        </w:tc>
        <w:tc>
          <w:tcPr>
            <w:tcW w:w="63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得分</w:t>
            </w:r>
          </w:p>
        </w:tc>
      </w:tr>
      <w:tr>
        <w:tblPrEx>
          <w:tblCellMar>
            <w:top w:w="0" w:type="dxa"/>
            <w:left w:w="0" w:type="dxa"/>
            <w:bottom w:w="0" w:type="dxa"/>
            <w:right w:w="0" w:type="dxa"/>
          </w:tblCellMar>
        </w:tblPrEx>
        <w:trPr>
          <w:gridAfter w:val="1"/>
          <w:wAfter w:w="18" w:type="dxa"/>
          <w:jc w:val="center"/>
        </w:trPr>
        <w:tc>
          <w:tcPr>
            <w:tcW w:w="0" w:type="auto"/>
            <w:gridSpan w:val="2"/>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1503"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年度资金总额</w:t>
            </w:r>
          </w:p>
        </w:tc>
        <w:tc>
          <w:tcPr>
            <w:tcW w:w="12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48.00</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96.00</w:t>
            </w:r>
          </w:p>
        </w:tc>
        <w:tc>
          <w:tcPr>
            <w:tcW w:w="10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29.00</w:t>
            </w:r>
          </w:p>
        </w:tc>
        <w:tc>
          <w:tcPr>
            <w:tcW w:w="6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88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30.21</w:t>
            </w:r>
            <w:r>
              <w:rPr>
                <w:rFonts w:hint="eastAsia" w:cs="Times New Roman"/>
                <w:sz w:val="15"/>
                <w:szCs w:val="15"/>
              </w:rPr>
              <w:t>%</w:t>
            </w:r>
          </w:p>
        </w:tc>
        <w:tc>
          <w:tcPr>
            <w:tcW w:w="63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3.02</w:t>
            </w:r>
          </w:p>
        </w:tc>
      </w:tr>
      <w:tr>
        <w:tblPrEx>
          <w:tblCellMar>
            <w:top w:w="0" w:type="dxa"/>
            <w:left w:w="0" w:type="dxa"/>
            <w:bottom w:w="0" w:type="dxa"/>
            <w:right w:w="0" w:type="dxa"/>
          </w:tblCellMar>
        </w:tblPrEx>
        <w:trPr>
          <w:gridAfter w:val="1"/>
          <w:wAfter w:w="18" w:type="dxa"/>
          <w:jc w:val="center"/>
        </w:trPr>
        <w:tc>
          <w:tcPr>
            <w:tcW w:w="0" w:type="auto"/>
            <w:gridSpan w:val="2"/>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1503"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其中：财政拨款</w:t>
            </w:r>
          </w:p>
        </w:tc>
        <w:tc>
          <w:tcPr>
            <w:tcW w:w="12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48.00</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48.00</w:t>
            </w:r>
          </w:p>
        </w:tc>
        <w:tc>
          <w:tcPr>
            <w:tcW w:w="10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29.00</w:t>
            </w:r>
          </w:p>
        </w:tc>
        <w:tc>
          <w:tcPr>
            <w:tcW w:w="6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c>
          <w:tcPr>
            <w:tcW w:w="88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60.42</w:t>
            </w:r>
            <w:r>
              <w:rPr>
                <w:rFonts w:hint="eastAsia" w:cs="Times New Roman"/>
                <w:sz w:val="15"/>
                <w:szCs w:val="15"/>
              </w:rPr>
              <w:t>%</w:t>
            </w:r>
          </w:p>
        </w:tc>
        <w:tc>
          <w:tcPr>
            <w:tcW w:w="63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r>
      <w:tr>
        <w:tblPrEx>
          <w:tblCellMar>
            <w:top w:w="0" w:type="dxa"/>
            <w:left w:w="0" w:type="dxa"/>
            <w:bottom w:w="0" w:type="dxa"/>
            <w:right w:w="0" w:type="dxa"/>
          </w:tblCellMar>
        </w:tblPrEx>
        <w:trPr>
          <w:gridAfter w:val="1"/>
          <w:wAfter w:w="18" w:type="dxa"/>
          <w:jc w:val="center"/>
        </w:trPr>
        <w:tc>
          <w:tcPr>
            <w:tcW w:w="0" w:type="auto"/>
            <w:gridSpan w:val="2"/>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1503"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其他资金</w:t>
            </w:r>
          </w:p>
        </w:tc>
        <w:tc>
          <w:tcPr>
            <w:tcW w:w="12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Times New Roman" w:hAnsi="Times New Roman" w:cs="Times New Roman" w:eastAsiaTheme="minorEastAsia"/>
                <w:sz w:val="15"/>
                <w:szCs w:val="15"/>
              </w:rPr>
            </w:pPr>
            <w:r>
              <w:rPr>
                <w:rFonts w:hint="eastAsia" w:ascii="Times New Roman" w:hAnsi="Times New Roman" w:cs="Times New Roman" w:eastAsiaTheme="minorEastAsia"/>
                <w:sz w:val="15"/>
                <w:szCs w:val="15"/>
              </w:rPr>
              <w:t>4</w:t>
            </w:r>
            <w:r>
              <w:rPr>
                <w:rFonts w:ascii="Times New Roman" w:hAnsi="Times New Roman" w:cs="Times New Roman" w:eastAsiaTheme="minorEastAsia"/>
                <w:sz w:val="15"/>
                <w:szCs w:val="15"/>
              </w:rPr>
              <w:t>8.00</w:t>
            </w:r>
          </w:p>
        </w:tc>
        <w:tc>
          <w:tcPr>
            <w:tcW w:w="107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Times New Roman" w:hAnsi="Times New Roman" w:eastAsia="Times New Roman" w:cs="Times New Roman"/>
                <w:sz w:val="15"/>
                <w:szCs w:val="15"/>
              </w:rPr>
            </w:pPr>
          </w:p>
        </w:tc>
        <w:tc>
          <w:tcPr>
            <w:tcW w:w="683"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c>
          <w:tcPr>
            <w:tcW w:w="887"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c>
          <w:tcPr>
            <w:tcW w:w="63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ascii="Courier New" w:hAnsi="Courier New" w:cs="Courier New"/>
                <w:sz w:val="15"/>
                <w:szCs w:val="15"/>
              </w:rPr>
              <w:t>-</w:t>
            </w:r>
          </w:p>
        </w:tc>
      </w:tr>
      <w:tr>
        <w:tblPrEx>
          <w:tblCellMar>
            <w:top w:w="0" w:type="dxa"/>
            <w:left w:w="0" w:type="dxa"/>
            <w:bottom w:w="0" w:type="dxa"/>
            <w:right w:w="0" w:type="dxa"/>
          </w:tblCellMar>
        </w:tblPrEx>
        <w:trPr>
          <w:gridAfter w:val="1"/>
          <w:wAfter w:w="18" w:type="dxa"/>
          <w:jc w:val="center"/>
        </w:trPr>
        <w:tc>
          <w:tcPr>
            <w:tcW w:w="81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年度总体目标</w:t>
            </w:r>
          </w:p>
        </w:tc>
        <w:tc>
          <w:tcPr>
            <w:tcW w:w="4150" w:type="dxa"/>
            <w:gridSpan w:val="8"/>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cs="Times New Roman"/>
                <w:sz w:val="15"/>
                <w:szCs w:val="15"/>
              </w:rPr>
            </w:pPr>
            <w:r>
              <w:rPr>
                <w:rFonts w:hint="eastAsia" w:cs="Times New Roman"/>
                <w:sz w:val="15"/>
                <w:szCs w:val="15"/>
              </w:rPr>
              <w:t>预期目标</w:t>
            </w:r>
          </w:p>
        </w:tc>
        <w:tc>
          <w:tcPr>
            <w:tcW w:w="3284" w:type="dxa"/>
            <w:gridSpan w:val="11"/>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rPr>
                <w:rFonts w:cs="Times New Roman"/>
                <w:sz w:val="15"/>
                <w:szCs w:val="15"/>
              </w:rPr>
            </w:pPr>
            <w:r>
              <w:rPr>
                <w:rFonts w:hint="eastAsia" w:cs="Times New Roman"/>
                <w:sz w:val="15"/>
                <w:szCs w:val="15"/>
              </w:rPr>
              <w:t>实际完成情况</w:t>
            </w: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4150" w:type="dxa"/>
            <w:gridSpan w:val="8"/>
            <w:tcBorders>
              <w:top w:val="nil"/>
              <w:left w:val="nil"/>
              <w:bottom w:val="single" w:color="auto" w:sz="8" w:space="0"/>
              <w:right w:val="single" w:color="auto" w:sz="8" w:space="0"/>
            </w:tcBorders>
            <w:tcMar>
              <w:top w:w="0" w:type="dxa"/>
              <w:left w:w="108" w:type="dxa"/>
              <w:bottom w:w="0" w:type="dxa"/>
              <w:right w:w="108" w:type="dxa"/>
            </w:tcMar>
          </w:tcPr>
          <w:p>
            <w:pPr>
              <w:rPr>
                <w:rFonts w:cs="Times New Roman"/>
                <w:sz w:val="15"/>
                <w:szCs w:val="15"/>
              </w:rPr>
            </w:pPr>
            <w:r>
              <w:rPr>
                <w:rFonts w:cs="Times New Roman"/>
                <w:sz w:val="15"/>
                <w:szCs w:val="15"/>
              </w:rPr>
              <w:t>1便携式检测仪器样机1套2孪生可视化系统1套3技术支撑特种设备的安全监察，防止和减少事故发生，保障人民群众生命和财产安全。4提高特种设备数据检测效率，促进特种设备安全运行。</w:t>
            </w:r>
          </w:p>
        </w:tc>
        <w:tc>
          <w:tcPr>
            <w:tcW w:w="3284" w:type="dxa"/>
            <w:gridSpan w:val="11"/>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受资金下达及疫情影响，完成了样机轿厢参数监测模块，样机开发进度达到</w:t>
            </w:r>
            <w:r>
              <w:rPr>
                <w:rFonts w:cs="Times New Roman"/>
                <w:sz w:val="15"/>
                <w:szCs w:val="15"/>
              </w:rPr>
              <w:t>40%；完成了系统框架开发、数据库开发、移动端APP开发，系统开发进度到达40%。</w:t>
            </w:r>
          </w:p>
        </w:tc>
      </w:tr>
      <w:tr>
        <w:tblPrEx>
          <w:tblCellMar>
            <w:top w:w="0" w:type="dxa"/>
            <w:left w:w="0" w:type="dxa"/>
            <w:bottom w:w="0" w:type="dxa"/>
            <w:right w:w="0" w:type="dxa"/>
          </w:tblCellMar>
        </w:tblPrEx>
        <w:trPr>
          <w:gridAfter w:val="1"/>
          <w:wAfter w:w="18" w:type="dxa"/>
          <w:jc w:val="center"/>
        </w:trPr>
        <w:tc>
          <w:tcPr>
            <w:tcW w:w="818"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绩  效 指  标（90）</w:t>
            </w:r>
          </w:p>
        </w:tc>
        <w:tc>
          <w:tcPr>
            <w:tcW w:w="81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一级指标</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二级指标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三级指标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年度指标值</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实际完成值</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分值</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得分</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偏差原因分析及改进措施</w:t>
            </w: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819"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产出指标（50）</w:t>
            </w:r>
          </w:p>
        </w:tc>
        <w:tc>
          <w:tcPr>
            <w:tcW w:w="921"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数量指标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指标1：便携式检测仪器样机数量</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w:t>
            </w:r>
            <w:r>
              <w:rPr>
                <w:rFonts w:cs="Times New Roman"/>
                <w:sz w:val="15"/>
                <w:szCs w:val="15"/>
              </w:rPr>
              <w:t>1</w:t>
            </w:r>
            <w:r>
              <w:rPr>
                <w:rFonts w:hint="eastAsia" w:cs="Times New Roman"/>
                <w:sz w:val="15"/>
                <w:szCs w:val="15"/>
              </w:rPr>
              <w:t>台</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cs="Times New Roman"/>
                <w:sz w:val="15"/>
                <w:szCs w:val="15"/>
              </w:rPr>
              <w:t>0.4</w:t>
            </w:r>
            <w:r>
              <w:rPr>
                <w:rFonts w:hint="eastAsia" w:cs="Times New Roman"/>
                <w:sz w:val="15"/>
                <w:szCs w:val="15"/>
              </w:rPr>
              <w:t>套</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2.5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r>
              <w:rPr>
                <w:rFonts w:hint="eastAsia" w:cs="Times New Roman"/>
                <w:sz w:val="15"/>
                <w:szCs w:val="15"/>
              </w:rPr>
              <w:t>由于资金下达较晚在</w:t>
            </w:r>
            <w:r>
              <w:rPr>
                <w:rFonts w:cs="Times New Roman"/>
                <w:sz w:val="15"/>
                <w:szCs w:val="15"/>
              </w:rPr>
              <w:t>2022年仅完成样机开发的40%工作，已完成轿厢参数监测模块</w:t>
            </w: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hint="eastAsia" w:cs="Times New Roman"/>
                <w:sz w:val="15"/>
                <w:szCs w:val="15"/>
              </w:rPr>
            </w:pPr>
            <w:r>
              <w:rPr>
                <w:rFonts w:hint="eastAsia" w:cs="Times New Roman"/>
                <w:sz w:val="15"/>
                <w:szCs w:val="15"/>
              </w:rPr>
              <w:t>指标2：孪生可视化系统数量</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≥1套</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0</w:t>
            </w:r>
            <w:r>
              <w:rPr>
                <w:rFonts w:cs="Times New Roman"/>
                <w:sz w:val="15"/>
                <w:szCs w:val="15"/>
              </w:rPr>
              <w:t>.4</w:t>
            </w:r>
            <w:r>
              <w:rPr>
                <w:rFonts w:hint="eastAsia" w:cs="Times New Roman"/>
                <w:sz w:val="15"/>
                <w:szCs w:val="15"/>
              </w:rPr>
              <w:t>套</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2</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1</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hint="eastAsia" w:cs="Times New Roman"/>
                <w:sz w:val="15"/>
                <w:szCs w:val="15"/>
              </w:rPr>
            </w:pPr>
            <w:r>
              <w:rPr>
                <w:rFonts w:hint="eastAsia" w:cs="Times New Roman"/>
                <w:sz w:val="15"/>
                <w:szCs w:val="15"/>
              </w:rPr>
              <w:t>指标3：研究报告数量</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≥4份</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0份</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2</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1</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hint="eastAsia" w:cs="Times New Roman"/>
                <w:sz w:val="15"/>
                <w:szCs w:val="15"/>
              </w:rPr>
            </w:pPr>
            <w:r>
              <w:rPr>
                <w:rFonts w:hint="eastAsia" w:cs="Times New Roman"/>
                <w:sz w:val="15"/>
                <w:szCs w:val="15"/>
              </w:rPr>
              <w:t>指标4：发表研究论文数量</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w:t>
            </w:r>
            <w:r>
              <w:rPr>
                <w:rFonts w:cs="Times New Roman"/>
                <w:sz w:val="15"/>
                <w:szCs w:val="15"/>
              </w:rPr>
              <w:t>3</w:t>
            </w:r>
            <w:r>
              <w:rPr>
                <w:rFonts w:hint="eastAsia" w:cs="Times New Roman"/>
                <w:sz w:val="15"/>
                <w:szCs w:val="15"/>
              </w:rPr>
              <w:t>份</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0份</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2</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hint="eastAsia" w:cs="Times New Roman"/>
                <w:sz w:val="15"/>
                <w:szCs w:val="15"/>
              </w:rPr>
            </w:pPr>
            <w:r>
              <w:rPr>
                <w:rFonts w:hint="eastAsia" w:cs="Times New Roman"/>
                <w:sz w:val="15"/>
                <w:szCs w:val="15"/>
              </w:rPr>
              <w:t>指标5：申请发明专利数量</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≥4项</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0项</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2</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指标6：登记软件著作权数量</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w:t>
            </w:r>
            <w:r>
              <w:rPr>
                <w:rFonts w:cs="Times New Roman"/>
                <w:sz w:val="15"/>
                <w:szCs w:val="15"/>
              </w:rPr>
              <w:t>2</w:t>
            </w:r>
            <w:r>
              <w:rPr>
                <w:rFonts w:hint="eastAsia" w:cs="Times New Roman"/>
                <w:sz w:val="15"/>
                <w:szCs w:val="15"/>
              </w:rPr>
              <w:t>项</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0项</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2</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质量指标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指标1：检测完成率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w:t>
            </w:r>
            <w:r>
              <w:rPr>
                <w:rFonts w:cs="Times New Roman"/>
                <w:sz w:val="15"/>
                <w:szCs w:val="15"/>
              </w:rPr>
              <w:t>98</w:t>
            </w:r>
            <w:r>
              <w:rPr>
                <w:rFonts w:hint="eastAsia" w:cs="Times New Roman"/>
                <w:sz w:val="15"/>
                <w:szCs w:val="15"/>
              </w:rPr>
              <w:t>%</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0%</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r>
              <w:rPr>
                <w:rFonts w:hint="eastAsia" w:cs="Times New Roman"/>
                <w:sz w:val="15"/>
                <w:szCs w:val="15"/>
              </w:rPr>
              <w:t>由于资金下达较晚，项目还处于开发阶段</w:t>
            </w: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指标2：报告完成率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=100%</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0%</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7</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时效指标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指标1：项目完成时间</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w:t>
            </w:r>
            <w:r>
              <w:rPr>
                <w:rFonts w:cs="Times New Roman"/>
                <w:sz w:val="15"/>
                <w:szCs w:val="15"/>
              </w:rPr>
              <w:t>1</w:t>
            </w:r>
            <w:r>
              <w:rPr>
                <w:rFonts w:hint="eastAsia" w:cs="Times New Roman"/>
                <w:sz w:val="15"/>
                <w:szCs w:val="15"/>
              </w:rPr>
              <w:t>年</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cs="Times New Roman"/>
                <w:sz w:val="15"/>
                <w:szCs w:val="15"/>
              </w:rPr>
              <w:t>1</w:t>
            </w:r>
            <w:r>
              <w:rPr>
                <w:rFonts w:hint="eastAsia" w:cs="Times New Roman"/>
                <w:sz w:val="15"/>
                <w:szCs w:val="15"/>
              </w:rPr>
              <w:t>年</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0" w:type="auto"/>
            <w:vMerge w:val="continue"/>
            <w:tcBorders>
              <w:top w:val="nil"/>
              <w:left w:val="nil"/>
              <w:bottom w:val="single" w:color="auto" w:sz="8" w:space="0"/>
              <w:right w:val="single" w:color="auto" w:sz="8" w:space="0"/>
            </w:tcBorders>
            <w:vAlign w:val="center"/>
          </w:tcPr>
          <w:p>
            <w:pP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指标2：报告完成时间</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w:t>
            </w:r>
            <w:r>
              <w:rPr>
                <w:rFonts w:cs="Times New Roman"/>
                <w:sz w:val="15"/>
                <w:szCs w:val="15"/>
              </w:rPr>
              <w:t>1</w:t>
            </w:r>
            <w:r>
              <w:rPr>
                <w:rFonts w:hint="eastAsia" w:cs="Times New Roman"/>
                <w:sz w:val="15"/>
                <w:szCs w:val="15"/>
              </w:rPr>
              <w:t>年</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cs="Times New Roman"/>
                <w:sz w:val="15"/>
                <w:szCs w:val="15"/>
              </w:rPr>
              <w:t>1</w:t>
            </w:r>
            <w:r>
              <w:rPr>
                <w:rFonts w:hint="eastAsia" w:cs="Times New Roman"/>
                <w:sz w:val="15"/>
                <w:szCs w:val="15"/>
              </w:rPr>
              <w:t>年</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trHeight w:val="353"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成本指标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hint="eastAsia" w:cs="Times New Roman"/>
                <w:sz w:val="15"/>
                <w:szCs w:val="15"/>
              </w:rPr>
            </w:pPr>
            <w:r>
              <w:rPr>
                <w:rFonts w:hint="eastAsia" w:cs="Times New Roman"/>
                <w:sz w:val="15"/>
                <w:szCs w:val="15"/>
              </w:rPr>
              <w:t>指标1：支出完成率</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≥9</w:t>
            </w:r>
            <w:r>
              <w:rPr>
                <w:rFonts w:cs="Times New Roman"/>
                <w:sz w:val="15"/>
                <w:szCs w:val="15"/>
              </w:rPr>
              <w:t>8</w:t>
            </w:r>
            <w:r>
              <w:rPr>
                <w:rFonts w:hint="eastAsia" w:cs="Times New Roman"/>
                <w:sz w:val="15"/>
                <w:szCs w:val="15"/>
              </w:rPr>
              <w:t>%</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3</w:t>
            </w:r>
            <w:r>
              <w:rPr>
                <w:rFonts w:cs="Times New Roman"/>
                <w:sz w:val="15"/>
                <w:szCs w:val="15"/>
              </w:rPr>
              <w:t>0.21</w:t>
            </w:r>
            <w:r>
              <w:rPr>
                <w:rFonts w:hint="eastAsia" w:cs="Times New Roman"/>
                <w:sz w:val="15"/>
                <w:szCs w:val="15"/>
              </w:rPr>
              <w:t>%</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hint="eastAsia" w:cs="Times New Roman"/>
                <w:sz w:val="15"/>
                <w:szCs w:val="15"/>
              </w:rPr>
            </w:pPr>
            <w:r>
              <w:rPr>
                <w:rFonts w:hint="eastAsia"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w:t>
            </w:r>
            <w:r>
              <w:rPr>
                <w:rFonts w:cs="Times New Roman"/>
                <w:sz w:val="15"/>
                <w:szCs w:val="15"/>
              </w:rPr>
              <w:t>.54</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0" w:type="auto"/>
            <w:gridSpan w:val="2"/>
            <w:vMerge w:val="continue"/>
            <w:tcBorders>
              <w:top w:val="nil"/>
              <w:left w:val="nil"/>
              <w:bottom w:val="single" w:color="auto" w:sz="8" w:space="0"/>
              <w:right w:val="single" w:color="auto" w:sz="8" w:space="0"/>
            </w:tcBorders>
            <w:vAlign w:val="center"/>
          </w:tcPr>
          <w:p>
            <w:pPr>
              <w:rPr>
                <w:rFonts w:cs="Times New Roman"/>
                <w:sz w:val="15"/>
                <w:szCs w:val="15"/>
              </w:rPr>
            </w:pPr>
          </w:p>
        </w:tc>
        <w:tc>
          <w:tcPr>
            <w:tcW w:w="921"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指标1：支出金额</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hint="eastAsia" w:cs="Times New Roman"/>
                <w:sz w:val="15"/>
                <w:szCs w:val="15"/>
              </w:rPr>
            </w:pPr>
            <w:r>
              <w:rPr>
                <w:rFonts w:hint="eastAsia" w:cs="Times New Roman"/>
                <w:sz w:val="15"/>
                <w:szCs w:val="15"/>
              </w:rPr>
              <w:t>≤4</w:t>
            </w:r>
            <w:r>
              <w:rPr>
                <w:rFonts w:cs="Times New Roman"/>
                <w:sz w:val="15"/>
                <w:szCs w:val="15"/>
              </w:rPr>
              <w:t>8</w:t>
            </w:r>
            <w:r>
              <w:rPr>
                <w:rFonts w:hint="eastAsia" w:cs="Times New Roman"/>
                <w:sz w:val="15"/>
                <w:szCs w:val="15"/>
              </w:rPr>
              <w:t>万元</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2</w:t>
            </w:r>
            <w:r>
              <w:rPr>
                <w:rFonts w:cs="Times New Roman"/>
                <w:sz w:val="15"/>
                <w:szCs w:val="15"/>
              </w:rPr>
              <w:t>9</w:t>
            </w:r>
            <w:r>
              <w:rPr>
                <w:rFonts w:hint="eastAsia" w:cs="Times New Roman"/>
                <w:sz w:val="15"/>
                <w:szCs w:val="15"/>
              </w:rPr>
              <w:t>万元</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819" w:type="dxa"/>
            <w:gridSpan w:val="2"/>
            <w:vMerge w:val="restart"/>
            <w:tcBorders>
              <w:top w:val="nil"/>
              <w:left w:val="nil"/>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效益指标（30）</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社会效益指标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指标1：提升电梯故障诊断智能化水平</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有效提升</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有效提升</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15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819" w:type="dxa"/>
            <w:gridSpan w:val="2"/>
            <w:vMerge w:val="continue"/>
            <w:tcBorders>
              <w:left w:val="nil"/>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可持续影响指标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指标1：提升高速电梯行诊断能力</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稳步提升</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稳步提升</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w:t>
            </w:r>
            <w:r>
              <w:rPr>
                <w:rFonts w:cs="Times New Roman"/>
                <w:sz w:val="15"/>
                <w:szCs w:val="15"/>
              </w:rPr>
              <w:t>5</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w:t>
            </w:r>
            <w:r>
              <w:rPr>
                <w:rFonts w:cs="Times New Roman"/>
                <w:sz w:val="15"/>
                <w:szCs w:val="15"/>
              </w:rPr>
              <w:t>5</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0" w:type="auto"/>
            <w:vMerge w:val="continue"/>
            <w:tcBorders>
              <w:top w:val="nil"/>
              <w:left w:val="single" w:color="auto" w:sz="8" w:space="0"/>
              <w:bottom w:val="single" w:color="auto" w:sz="8" w:space="0"/>
              <w:right w:val="single" w:color="auto" w:sz="8" w:space="0"/>
            </w:tcBorders>
            <w:vAlign w:val="center"/>
          </w:tcPr>
          <w:p>
            <w:pPr>
              <w:rPr>
                <w:rFonts w:cs="Times New Roman"/>
                <w:sz w:val="15"/>
                <w:szCs w:val="15"/>
              </w:rPr>
            </w:pPr>
          </w:p>
        </w:tc>
        <w:tc>
          <w:tcPr>
            <w:tcW w:w="81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满意度 指  标（10）</w:t>
            </w:r>
          </w:p>
        </w:tc>
        <w:tc>
          <w:tcPr>
            <w:tcW w:w="921"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服务对象满意度指标</w:t>
            </w:r>
          </w:p>
        </w:tc>
        <w:tc>
          <w:tcPr>
            <w:tcW w:w="132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both"/>
              <w:rPr>
                <w:rFonts w:cs="Times New Roman"/>
                <w:sz w:val="15"/>
                <w:szCs w:val="15"/>
              </w:rPr>
            </w:pPr>
            <w:r>
              <w:rPr>
                <w:rFonts w:hint="eastAsia" w:cs="Times New Roman"/>
                <w:sz w:val="15"/>
                <w:szCs w:val="15"/>
              </w:rPr>
              <w:t>指标1：公众满意度</w:t>
            </w:r>
          </w:p>
        </w:tc>
        <w:tc>
          <w:tcPr>
            <w:tcW w:w="109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hint="eastAsia" w:cs="Times New Roman"/>
                <w:sz w:val="15"/>
                <w:szCs w:val="15"/>
              </w:rPr>
              <w:t>≥9</w:t>
            </w:r>
            <w:r>
              <w:rPr>
                <w:rFonts w:cs="Times New Roman"/>
                <w:sz w:val="15"/>
                <w:szCs w:val="15"/>
              </w:rPr>
              <w:t>8</w:t>
            </w:r>
            <w:r>
              <w:rPr>
                <w:rFonts w:hint="eastAsia" w:cs="Times New Roman"/>
                <w:sz w:val="15"/>
                <w:szCs w:val="15"/>
              </w:rPr>
              <w:t>%</w:t>
            </w:r>
          </w:p>
        </w:tc>
        <w:tc>
          <w:tcPr>
            <w:tcW w:w="89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right"/>
              <w:rPr>
                <w:rFonts w:cs="Times New Roman"/>
                <w:sz w:val="15"/>
                <w:szCs w:val="15"/>
              </w:rPr>
            </w:pPr>
            <w:r>
              <w:rPr>
                <w:rFonts w:cs="Times New Roman"/>
                <w:sz w:val="15"/>
                <w:szCs w:val="15"/>
              </w:rPr>
              <w:t>98</w:t>
            </w:r>
            <w:r>
              <w:rPr>
                <w:rFonts w:hint="eastAsia" w:cs="Times New Roman"/>
                <w:sz w:val="15"/>
                <w:szCs w:val="15"/>
              </w:rPr>
              <w:t>%</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rPr>
                <w:rFonts w:cs="Times New Roman"/>
                <w:sz w:val="15"/>
                <w:szCs w:val="15"/>
              </w:rPr>
            </w:pPr>
          </w:p>
        </w:tc>
      </w:tr>
      <w:tr>
        <w:tblPrEx>
          <w:tblCellMar>
            <w:top w:w="0" w:type="dxa"/>
            <w:left w:w="0" w:type="dxa"/>
            <w:bottom w:w="0" w:type="dxa"/>
            <w:right w:w="0" w:type="dxa"/>
          </w:tblCellMar>
        </w:tblPrEx>
        <w:trPr>
          <w:gridAfter w:val="1"/>
          <w:wAfter w:w="18" w:type="dxa"/>
          <w:jc w:val="center"/>
        </w:trPr>
        <w:tc>
          <w:tcPr>
            <w:tcW w:w="5861" w:type="dxa"/>
            <w:gridSpan w:val="11"/>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总    分</w:t>
            </w:r>
          </w:p>
        </w:tc>
        <w:tc>
          <w:tcPr>
            <w:tcW w:w="6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hint="eastAsia" w:cs="Times New Roman"/>
                <w:sz w:val="15"/>
                <w:szCs w:val="15"/>
              </w:rPr>
              <w:t>100</w:t>
            </w:r>
          </w:p>
        </w:tc>
        <w:tc>
          <w:tcPr>
            <w:tcW w:w="610"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rPr>
                <w:rFonts w:cs="Times New Roman"/>
                <w:sz w:val="15"/>
                <w:szCs w:val="15"/>
              </w:rPr>
            </w:pPr>
            <w:r>
              <w:rPr>
                <w:rFonts w:cs="Times New Roman"/>
                <w:sz w:val="15"/>
                <w:szCs w:val="15"/>
              </w:rPr>
              <w:t>61.56</w:t>
            </w:r>
          </w:p>
        </w:tc>
        <w:tc>
          <w:tcPr>
            <w:tcW w:w="1130" w:type="dxa"/>
            <w:gridSpan w:val="3"/>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rPr>
                <w:rFonts w:cs="Times New Roman"/>
                <w:sz w:val="15"/>
                <w:szCs w:val="15"/>
              </w:rPr>
            </w:pPr>
            <w:r>
              <w:rPr>
                <w:rFonts w:hint="eastAsia" w:cs="Times New Roman"/>
                <w:sz w:val="15"/>
                <w:szCs w:val="15"/>
              </w:rPr>
              <w:t>　</w:t>
            </w:r>
          </w:p>
        </w:tc>
      </w:tr>
      <w:tr>
        <w:tblPrEx>
          <w:tblCellMar>
            <w:top w:w="0" w:type="dxa"/>
            <w:left w:w="0" w:type="dxa"/>
            <w:bottom w:w="0" w:type="dxa"/>
            <w:right w:w="0" w:type="dxa"/>
          </w:tblCellMar>
        </w:tblPrEx>
        <w:trPr>
          <w:jc w:val="center"/>
        </w:trPr>
        <w:tc>
          <w:tcPr>
            <w:tcW w:w="818" w:type="dxa"/>
            <w:vAlign w:val="center"/>
          </w:tcPr>
          <w:p>
            <w:pPr>
              <w:rPr>
                <w:rFonts w:cs="Times New Roman"/>
              </w:rPr>
            </w:pPr>
            <w:r>
              <w:rPr>
                <w:rFonts w:hint="eastAsia" w:cs="Times New Roman"/>
              </w:rPr>
              <w:t> </w:t>
            </w:r>
          </w:p>
        </w:tc>
        <w:tc>
          <w:tcPr>
            <w:tcW w:w="288" w:type="dxa"/>
            <w:vAlign w:val="center"/>
          </w:tcPr>
          <w:p>
            <w:pPr>
              <w:rPr>
                <w:rFonts w:cs="Times New Roman"/>
              </w:rPr>
            </w:pPr>
            <w:r>
              <w:rPr>
                <w:rFonts w:hint="eastAsia" w:cs="Times New Roman"/>
              </w:rPr>
              <w:t> </w:t>
            </w:r>
          </w:p>
        </w:tc>
        <w:tc>
          <w:tcPr>
            <w:tcW w:w="531" w:type="dxa"/>
            <w:vAlign w:val="center"/>
          </w:tcPr>
          <w:p>
            <w:pPr>
              <w:rPr>
                <w:rFonts w:cs="Times New Roman"/>
              </w:rPr>
            </w:pPr>
            <w:r>
              <w:rPr>
                <w:rFonts w:hint="eastAsia" w:cs="Times New Roman"/>
              </w:rPr>
              <w:t> </w:t>
            </w:r>
          </w:p>
        </w:tc>
        <w:tc>
          <w:tcPr>
            <w:tcW w:w="972" w:type="dxa"/>
            <w:gridSpan w:val="2"/>
            <w:vAlign w:val="center"/>
          </w:tcPr>
          <w:p>
            <w:pPr>
              <w:rPr>
                <w:rFonts w:cs="Times New Roman"/>
              </w:rPr>
            </w:pPr>
            <w:r>
              <w:rPr>
                <w:rFonts w:hint="eastAsia" w:cs="Times New Roman"/>
              </w:rPr>
              <w:t> </w:t>
            </w:r>
          </w:p>
        </w:tc>
        <w:tc>
          <w:tcPr>
            <w:tcW w:w="240" w:type="dxa"/>
            <w:vAlign w:val="center"/>
          </w:tcPr>
          <w:p>
            <w:pPr>
              <w:rPr>
                <w:rFonts w:cs="Times New Roman"/>
              </w:rPr>
            </w:pPr>
            <w:r>
              <w:rPr>
                <w:rFonts w:hint="eastAsia" w:cs="Times New Roman"/>
              </w:rPr>
              <w:t> </w:t>
            </w:r>
          </w:p>
        </w:tc>
        <w:tc>
          <w:tcPr>
            <w:tcW w:w="1029" w:type="dxa"/>
            <w:vAlign w:val="center"/>
          </w:tcPr>
          <w:p>
            <w:pPr>
              <w:rPr>
                <w:rFonts w:cs="Times New Roman"/>
              </w:rPr>
            </w:pPr>
            <w:r>
              <w:rPr>
                <w:rFonts w:hint="eastAsia" w:cs="Times New Roman"/>
              </w:rPr>
              <w:t> </w:t>
            </w:r>
          </w:p>
        </w:tc>
        <w:tc>
          <w:tcPr>
            <w:tcW w:w="240" w:type="dxa"/>
            <w:vAlign w:val="center"/>
          </w:tcPr>
          <w:p>
            <w:pPr>
              <w:rPr>
                <w:rFonts w:cs="Times New Roman"/>
              </w:rPr>
            </w:pPr>
            <w:r>
              <w:rPr>
                <w:rFonts w:hint="eastAsia" w:cs="Times New Roman"/>
              </w:rPr>
              <w:t> </w:t>
            </w:r>
          </w:p>
        </w:tc>
        <w:tc>
          <w:tcPr>
            <w:tcW w:w="870" w:type="dxa"/>
            <w:gridSpan w:val="2"/>
            <w:vAlign w:val="center"/>
          </w:tcPr>
          <w:p>
            <w:pPr>
              <w:rPr>
                <w:rFonts w:cs="Times New Roman"/>
              </w:rPr>
            </w:pPr>
            <w:r>
              <w:rPr>
                <w:rFonts w:hint="eastAsia" w:cs="Times New Roman"/>
              </w:rPr>
              <w:t> </w:t>
            </w:r>
          </w:p>
        </w:tc>
        <w:tc>
          <w:tcPr>
            <w:tcW w:w="873" w:type="dxa"/>
            <w:vAlign w:val="center"/>
          </w:tcPr>
          <w:p>
            <w:pPr>
              <w:rPr>
                <w:rFonts w:cs="Times New Roman"/>
              </w:rPr>
            </w:pPr>
            <w:r>
              <w:rPr>
                <w:rFonts w:hint="eastAsia" w:cs="Times New Roman"/>
              </w:rPr>
              <w:t> </w:t>
            </w:r>
          </w:p>
        </w:tc>
        <w:tc>
          <w:tcPr>
            <w:tcW w:w="240" w:type="dxa"/>
            <w:gridSpan w:val="2"/>
            <w:vAlign w:val="center"/>
          </w:tcPr>
          <w:p>
            <w:pPr>
              <w:rPr>
                <w:rFonts w:cs="Times New Roman"/>
              </w:rPr>
            </w:pPr>
            <w:r>
              <w:rPr>
                <w:rFonts w:hint="eastAsia" w:cs="Times New Roman"/>
              </w:rPr>
              <w:t> </w:t>
            </w:r>
          </w:p>
        </w:tc>
        <w:tc>
          <w:tcPr>
            <w:tcW w:w="411" w:type="dxa"/>
            <w:vAlign w:val="center"/>
          </w:tcPr>
          <w:p>
            <w:pPr>
              <w:rPr>
                <w:rFonts w:cs="Times New Roman"/>
              </w:rPr>
            </w:pPr>
            <w:r>
              <w:rPr>
                <w:rFonts w:hint="eastAsia" w:cs="Times New Roman"/>
              </w:rPr>
              <w:t> </w:t>
            </w:r>
          </w:p>
        </w:tc>
        <w:tc>
          <w:tcPr>
            <w:tcW w:w="240" w:type="dxa"/>
            <w:gridSpan w:val="2"/>
            <w:vAlign w:val="center"/>
          </w:tcPr>
          <w:p>
            <w:pPr>
              <w:rPr>
                <w:rFonts w:cs="Times New Roman"/>
              </w:rPr>
            </w:pPr>
            <w:r>
              <w:rPr>
                <w:rFonts w:hint="eastAsia" w:cs="Times New Roman"/>
              </w:rPr>
              <w:t> </w:t>
            </w:r>
          </w:p>
        </w:tc>
        <w:tc>
          <w:tcPr>
            <w:tcW w:w="370" w:type="dxa"/>
            <w:vAlign w:val="center"/>
          </w:tcPr>
          <w:p>
            <w:pPr>
              <w:rPr>
                <w:rFonts w:cs="Times New Roman"/>
              </w:rPr>
            </w:pPr>
            <w:r>
              <w:rPr>
                <w:rFonts w:hint="eastAsia" w:cs="Times New Roman"/>
              </w:rPr>
              <w:t> </w:t>
            </w:r>
          </w:p>
        </w:tc>
        <w:tc>
          <w:tcPr>
            <w:tcW w:w="513" w:type="dxa"/>
            <w:gridSpan w:val="2"/>
            <w:vAlign w:val="center"/>
          </w:tcPr>
          <w:p>
            <w:pPr>
              <w:rPr>
                <w:rFonts w:cs="Times New Roman"/>
              </w:rPr>
            </w:pPr>
            <w:r>
              <w:rPr>
                <w:rFonts w:hint="eastAsia" w:cs="Times New Roman"/>
              </w:rPr>
              <w:t> </w:t>
            </w:r>
          </w:p>
        </w:tc>
        <w:tc>
          <w:tcPr>
            <w:tcW w:w="635" w:type="dxa"/>
            <w:gridSpan w:val="2"/>
            <w:vAlign w:val="center"/>
          </w:tcPr>
          <w:p>
            <w:pPr>
              <w:rPr>
                <w:rFonts w:cs="Times New Roman"/>
              </w:rPr>
            </w:pPr>
            <w:r>
              <w:rPr>
                <w:rFonts w:hint="eastAsia" w:cs="Times New Roman"/>
              </w:rPr>
              <w:t> </w:t>
            </w:r>
          </w:p>
        </w:tc>
      </w:tr>
    </w:tbl>
    <w:p>
      <w:pPr>
        <w:ind w:firstLine="640" w:firstLineChars="200"/>
        <w:rPr>
          <w:color w:val="0000FF"/>
          <w:sz w:val="32"/>
          <w:szCs w:val="32"/>
        </w:rPr>
      </w:pPr>
    </w:p>
    <w:p>
      <w:pPr>
        <w:rPr>
          <w:color w:val="0000FF"/>
          <w:sz w:val="32"/>
          <w:szCs w:val="32"/>
        </w:rPr>
      </w:pPr>
      <w:r>
        <w:rPr>
          <w:color w:val="0000FF"/>
          <w:sz w:val="32"/>
          <w:szCs w:val="32"/>
        </w:rPr>
        <w:br w:type="page"/>
      </w:r>
    </w:p>
    <w:p>
      <w:pPr>
        <w:spacing w:before="100" w:beforeAutospacing="1" w:after="100" w:afterAutospacing="1"/>
        <w:ind w:firstLine="643" w:firstLineChars="200"/>
        <w:jc w:val="both"/>
      </w:pPr>
      <w:r>
        <w:rPr>
          <w:rFonts w:hint="eastAsia" w:ascii="楷体" w:hAnsi="楷体" w:eastAsia="楷体"/>
          <w:b/>
          <w:bCs/>
          <w:sz w:val="32"/>
          <w:szCs w:val="32"/>
        </w:rPr>
        <w:t>（三）部门项目绩效评价结果。</w:t>
      </w:r>
    </w:p>
    <w:p>
      <w:pPr>
        <w:spacing w:before="100" w:beforeAutospacing="1" w:after="100" w:afterAutospacing="1"/>
        <w:ind w:firstLine="640" w:firstLineChars="200"/>
        <w:jc w:val="both"/>
      </w:pPr>
      <w:r>
        <w:rPr>
          <w:rFonts w:hint="eastAsia"/>
          <w:sz w:val="32"/>
          <w:szCs w:val="32"/>
        </w:rPr>
        <w:t>以</w:t>
      </w:r>
      <w:r>
        <w:rPr>
          <w:rFonts w:hint="eastAsia" w:ascii="Times New Roman" w:hAnsi="Times New Roman" w:cs="Times New Roman"/>
          <w:sz w:val="32"/>
          <w:szCs w:val="32"/>
        </w:rPr>
        <w:t>锅炉压力容器与特种设备安全监管</w:t>
      </w:r>
      <w:r>
        <w:rPr>
          <w:rFonts w:hint="eastAsia"/>
          <w:sz w:val="32"/>
          <w:szCs w:val="32"/>
        </w:rPr>
        <w:t>项目为例，该项目绩效评价综合得分为</w:t>
      </w:r>
      <w:r>
        <w:rPr>
          <w:rFonts w:ascii="Times New Roman" w:hAnsi="Times New Roman" w:cs="Times New Roman"/>
          <w:sz w:val="32"/>
          <w:szCs w:val="32"/>
        </w:rPr>
        <w:t>90</w:t>
      </w:r>
      <w:r>
        <w:rPr>
          <w:rFonts w:hint="eastAsia"/>
          <w:sz w:val="32"/>
          <w:szCs w:val="32"/>
        </w:rPr>
        <w:t>分，绩效评价结果为</w:t>
      </w:r>
      <w:r>
        <w:rPr>
          <w:rFonts w:ascii="Times New Roman" w:hAnsi="Times New Roman" w:cs="Times New Roman"/>
          <w:sz w:val="32"/>
          <w:szCs w:val="32"/>
        </w:rPr>
        <w:t>“</w:t>
      </w:r>
      <w:r>
        <w:rPr>
          <w:rFonts w:hint="eastAsia"/>
          <w:sz w:val="32"/>
          <w:szCs w:val="32"/>
        </w:rPr>
        <w:t>优</w:t>
      </w:r>
      <w:r>
        <w:rPr>
          <w:rFonts w:ascii="Times New Roman" w:hAnsi="Times New Roman" w:cs="Times New Roman"/>
          <w:sz w:val="32"/>
          <w:szCs w:val="32"/>
        </w:rPr>
        <w:t>”</w:t>
      </w:r>
      <w:r>
        <w:rPr>
          <w:rFonts w:hint="eastAsia"/>
          <w:sz w:val="32"/>
          <w:szCs w:val="32"/>
        </w:rPr>
        <w:t>。重点项目绩效评价得分情况详见部门具体绩效评价结果。</w:t>
      </w:r>
    </w:p>
    <w:p>
      <w:pPr>
        <w:pStyle w:val="3"/>
        <w:keepNext/>
        <w:spacing w:line="360" w:lineRule="auto"/>
        <w:jc w:val="center"/>
      </w:pPr>
      <w:r>
        <w:rPr>
          <w:rFonts w:hint="eastAsia" w:ascii="方正小标宋简体" w:eastAsia="方正小标宋简体"/>
        </w:rPr>
        <w:t>第三部分名词解释</w:t>
      </w:r>
    </w:p>
    <w:p>
      <w:pPr>
        <w:spacing w:before="100" w:beforeAutospacing="1" w:after="100" w:afterAutospacing="1" w:line="560" w:lineRule="atLeast"/>
        <w:ind w:firstLine="643" w:firstLineChars="200"/>
        <w:jc w:val="both"/>
      </w:pPr>
      <w:r>
        <w:rPr>
          <w:rFonts w:hint="eastAsia"/>
          <w:b/>
          <w:bCs/>
          <w:sz w:val="32"/>
          <w:szCs w:val="32"/>
        </w:rPr>
        <w:t>一、财政拨款收入：</w:t>
      </w:r>
      <w:r>
        <w:rPr>
          <w:rFonts w:hint="eastAsia"/>
          <w:sz w:val="32"/>
          <w:szCs w:val="32"/>
        </w:rPr>
        <w:t>从同级财政部门取得的各类财政拨款，包括一般公共预算财政拨款、政府性基金预算财政拨款、国有资本经营预算财政拨款。</w:t>
      </w:r>
    </w:p>
    <w:p>
      <w:pPr>
        <w:spacing w:before="100" w:beforeAutospacing="1" w:after="100" w:afterAutospacing="1" w:line="560" w:lineRule="atLeast"/>
        <w:ind w:firstLine="643" w:firstLineChars="200"/>
        <w:jc w:val="both"/>
      </w:pPr>
      <w:r>
        <w:rPr>
          <w:rFonts w:hint="eastAsia"/>
          <w:b/>
          <w:bCs/>
          <w:sz w:val="32"/>
          <w:szCs w:val="32"/>
        </w:rPr>
        <w:t>二、上级补助收入：</w:t>
      </w:r>
      <w:r>
        <w:rPr>
          <w:rFonts w:hint="eastAsia"/>
          <w:sz w:val="32"/>
          <w:szCs w:val="32"/>
        </w:rPr>
        <w:t>指事业单位从主管部门和上级单位取得的非财政补助收入。</w:t>
      </w:r>
    </w:p>
    <w:p>
      <w:pPr>
        <w:spacing w:before="100" w:beforeAutospacing="1" w:after="100" w:afterAutospacing="1" w:line="560" w:lineRule="atLeast"/>
        <w:ind w:firstLine="643" w:firstLineChars="200"/>
        <w:jc w:val="both"/>
      </w:pPr>
      <w:r>
        <w:rPr>
          <w:rFonts w:hint="eastAsia"/>
          <w:b/>
          <w:bCs/>
          <w:sz w:val="32"/>
          <w:szCs w:val="32"/>
        </w:rPr>
        <w:t>三、财政专户管理教育收费：</w:t>
      </w:r>
      <w:r>
        <w:rPr>
          <w:rFonts w:hint="eastAsia"/>
          <w:sz w:val="32"/>
          <w:szCs w:val="32"/>
        </w:rPr>
        <w:t>指缴入财政专户、实行专项管理的高中以上学费、住宿费、高校委托培养费、函大、电大、夜大及短训班培训费等教育收费。</w:t>
      </w:r>
    </w:p>
    <w:p>
      <w:pPr>
        <w:spacing w:before="100" w:beforeAutospacing="1" w:after="100" w:afterAutospacing="1" w:line="560" w:lineRule="atLeast"/>
        <w:ind w:firstLine="643" w:firstLineChars="200"/>
        <w:jc w:val="both"/>
      </w:pPr>
      <w:r>
        <w:rPr>
          <w:rFonts w:hint="eastAsia"/>
          <w:b/>
          <w:bCs/>
          <w:sz w:val="32"/>
          <w:szCs w:val="32"/>
        </w:rPr>
        <w:t>四、事业收入：</w:t>
      </w:r>
      <w:r>
        <w:rPr>
          <w:rFonts w:hint="eastAsia"/>
          <w:sz w:val="32"/>
          <w:szCs w:val="32"/>
        </w:rPr>
        <w:t>指事业单位开展专业业务活动及其辅助活动取得的收入。</w:t>
      </w:r>
    </w:p>
    <w:p>
      <w:pPr>
        <w:spacing w:before="100" w:beforeAutospacing="1" w:after="100" w:afterAutospacing="1" w:line="560" w:lineRule="atLeast"/>
        <w:ind w:firstLine="643" w:firstLineChars="200"/>
        <w:jc w:val="both"/>
      </w:pPr>
      <w:r>
        <w:rPr>
          <w:rFonts w:hint="eastAsia"/>
          <w:b/>
          <w:bCs/>
          <w:sz w:val="32"/>
          <w:szCs w:val="32"/>
        </w:rPr>
        <w:t>五、经营收入：</w:t>
      </w:r>
      <w:r>
        <w:rPr>
          <w:rFonts w:hint="eastAsia"/>
          <w:sz w:val="32"/>
          <w:szCs w:val="32"/>
        </w:rPr>
        <w:t>指事业单位在专业业务活动及其辅助活动之外开展非独立核算经营活动取得的收入。</w:t>
      </w:r>
    </w:p>
    <w:p>
      <w:pPr>
        <w:spacing w:before="100" w:beforeAutospacing="1" w:after="100" w:afterAutospacing="1" w:line="560" w:lineRule="atLeast"/>
        <w:ind w:firstLine="643" w:firstLineChars="200"/>
        <w:jc w:val="both"/>
      </w:pPr>
      <w:r>
        <w:rPr>
          <w:rFonts w:hint="eastAsia"/>
          <w:b/>
          <w:bCs/>
          <w:sz w:val="32"/>
          <w:szCs w:val="32"/>
        </w:rPr>
        <w:t>六、附属单位上缴收入：</w:t>
      </w:r>
      <w:r>
        <w:rPr>
          <w:rFonts w:hint="eastAsia"/>
          <w:sz w:val="32"/>
          <w:szCs w:val="32"/>
        </w:rPr>
        <w:t>指事业单位附属独立核算单位按照有关规定上缴的收入。</w:t>
      </w:r>
    </w:p>
    <w:p>
      <w:pPr>
        <w:spacing w:before="100" w:beforeAutospacing="1" w:after="100" w:afterAutospacing="1" w:line="560" w:lineRule="atLeast"/>
        <w:ind w:firstLine="643" w:firstLineChars="200"/>
        <w:jc w:val="both"/>
      </w:pPr>
      <w:r>
        <w:rPr>
          <w:rFonts w:hint="eastAsia"/>
          <w:b/>
          <w:bCs/>
          <w:sz w:val="32"/>
          <w:szCs w:val="32"/>
        </w:rPr>
        <w:t>七、其他收入：</w:t>
      </w:r>
      <w:r>
        <w:rPr>
          <w:rFonts w:hint="eastAsia"/>
          <w:sz w:val="32"/>
          <w:szCs w:val="32"/>
        </w:rPr>
        <w:t>取得的除上述</w:t>
      </w:r>
      <w:r>
        <w:rPr>
          <w:rFonts w:ascii="Times New Roman" w:hAnsi="Times New Roman" w:cs="Times New Roman"/>
          <w:sz w:val="32"/>
          <w:szCs w:val="32"/>
        </w:rPr>
        <w:t>“</w:t>
      </w:r>
      <w:r>
        <w:rPr>
          <w:rFonts w:hint="eastAsia"/>
          <w:sz w:val="32"/>
          <w:szCs w:val="32"/>
        </w:rPr>
        <w:t>财政拨款收入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上级补助收入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事业收入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经营收入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附属单位上缴收入</w:t>
      </w:r>
      <w:r>
        <w:rPr>
          <w:rFonts w:ascii="Times New Roman" w:hAnsi="Times New Roman" w:cs="Times New Roman"/>
          <w:sz w:val="32"/>
          <w:szCs w:val="32"/>
        </w:rPr>
        <w:t>”</w:t>
      </w:r>
      <w:r>
        <w:rPr>
          <w:rFonts w:hint="eastAsia"/>
          <w:sz w:val="32"/>
          <w:szCs w:val="32"/>
        </w:rPr>
        <w:t>等以外的各项收入。</w:t>
      </w:r>
    </w:p>
    <w:p>
      <w:pPr>
        <w:spacing w:before="100" w:beforeAutospacing="1" w:after="100" w:afterAutospacing="1" w:line="560" w:lineRule="atLeast"/>
        <w:ind w:firstLine="643" w:firstLineChars="200"/>
        <w:jc w:val="both"/>
      </w:pPr>
      <w:r>
        <w:rPr>
          <w:rFonts w:hint="eastAsia"/>
          <w:b/>
          <w:bCs/>
          <w:sz w:val="32"/>
          <w:szCs w:val="32"/>
        </w:rPr>
        <w:t>八、使用非财政拨款结余：</w:t>
      </w:r>
      <w:r>
        <w:rPr>
          <w:rFonts w:hint="eastAsia"/>
          <w:sz w:val="32"/>
          <w:szCs w:val="32"/>
        </w:rPr>
        <w:t>指事业单位按照预算管理要求使用非财政拨款结余弥补当年收支差额的数额。</w:t>
      </w:r>
    </w:p>
    <w:p>
      <w:pPr>
        <w:spacing w:before="100" w:beforeAutospacing="1" w:after="100" w:afterAutospacing="1" w:line="560" w:lineRule="atLeast"/>
        <w:ind w:firstLine="643" w:firstLineChars="200"/>
        <w:jc w:val="both"/>
      </w:pPr>
      <w:r>
        <w:rPr>
          <w:rFonts w:hint="eastAsia"/>
          <w:b/>
          <w:bCs/>
          <w:sz w:val="32"/>
          <w:szCs w:val="32"/>
        </w:rPr>
        <w:t>九、年初结转和结余：</w:t>
      </w:r>
      <w:r>
        <w:rPr>
          <w:rFonts w:hint="eastAsia"/>
          <w:sz w:val="32"/>
          <w:szCs w:val="32"/>
        </w:rPr>
        <w:t>指单位上年结转本年使用的基本支出结转、项目支出结转和结余、经营结余。</w:t>
      </w:r>
    </w:p>
    <w:p>
      <w:pPr>
        <w:spacing w:before="100" w:beforeAutospacing="1" w:after="100" w:afterAutospacing="1" w:line="560" w:lineRule="atLeast"/>
        <w:ind w:firstLine="643" w:firstLineChars="200"/>
        <w:jc w:val="both"/>
      </w:pPr>
      <w:r>
        <w:rPr>
          <w:rFonts w:hint="eastAsia"/>
          <w:b/>
          <w:bCs/>
          <w:sz w:val="32"/>
          <w:szCs w:val="32"/>
        </w:rPr>
        <w:t>十、结余分配：</w:t>
      </w:r>
      <w:r>
        <w:rPr>
          <w:rFonts w:hint="eastAsia"/>
          <w:sz w:val="32"/>
          <w:szCs w:val="32"/>
        </w:rPr>
        <w:t>指事业单位按规定缴纳的所得税以及从非财政拨款结余中提取各类结余的情况。</w:t>
      </w:r>
    </w:p>
    <w:p>
      <w:pPr>
        <w:spacing w:before="100" w:beforeAutospacing="1" w:after="100" w:afterAutospacing="1" w:line="560" w:lineRule="atLeast"/>
        <w:ind w:firstLine="643" w:firstLineChars="200"/>
        <w:jc w:val="both"/>
      </w:pPr>
      <w:r>
        <w:rPr>
          <w:rFonts w:hint="eastAsia"/>
          <w:b/>
          <w:bCs/>
          <w:sz w:val="32"/>
          <w:szCs w:val="32"/>
        </w:rPr>
        <w:t>十一、年末结转和结余资金：</w:t>
      </w:r>
      <w:r>
        <w:rPr>
          <w:rFonts w:hint="eastAsia"/>
          <w:sz w:val="32"/>
          <w:szCs w:val="32"/>
        </w:rPr>
        <w:t>指单位结转下年的基本支出结转、项目支出结转和结余、经营结余。</w:t>
      </w:r>
    </w:p>
    <w:p>
      <w:pPr>
        <w:spacing w:before="100" w:beforeAutospacing="1" w:after="100" w:afterAutospacing="1" w:line="560" w:lineRule="atLeast"/>
        <w:ind w:firstLine="643" w:firstLineChars="200"/>
        <w:jc w:val="both"/>
      </w:pPr>
      <w:r>
        <w:rPr>
          <w:rFonts w:hint="eastAsia"/>
          <w:b/>
          <w:bCs/>
          <w:sz w:val="32"/>
          <w:szCs w:val="32"/>
        </w:rPr>
        <w:t>十二、基本支出：</w:t>
      </w:r>
      <w:r>
        <w:rPr>
          <w:rFonts w:hint="eastAsia"/>
          <w:sz w:val="32"/>
          <w:szCs w:val="32"/>
        </w:rPr>
        <w:t>指为保障机构正常运转、完成日常工作任务所发生的支出，包括人员经费和公用经费。</w:t>
      </w:r>
    </w:p>
    <w:p>
      <w:pPr>
        <w:spacing w:before="100" w:beforeAutospacing="1" w:after="100" w:afterAutospacing="1" w:line="560" w:lineRule="atLeast"/>
        <w:ind w:firstLine="643" w:firstLineChars="200"/>
        <w:jc w:val="both"/>
      </w:pPr>
      <w:r>
        <w:rPr>
          <w:rFonts w:hint="eastAsia"/>
          <w:b/>
          <w:bCs/>
          <w:sz w:val="32"/>
          <w:szCs w:val="32"/>
        </w:rPr>
        <w:t>十三、项目支出：</w:t>
      </w:r>
      <w:r>
        <w:rPr>
          <w:rFonts w:hint="eastAsia"/>
          <w:sz w:val="32"/>
          <w:szCs w:val="32"/>
        </w:rPr>
        <w:t>指在为完成特定的工作任务和事业发展目标所发生的支出。</w:t>
      </w:r>
    </w:p>
    <w:p>
      <w:pPr>
        <w:spacing w:before="100" w:beforeAutospacing="1" w:after="100" w:afterAutospacing="1" w:line="560" w:lineRule="atLeast"/>
        <w:ind w:firstLine="643" w:firstLineChars="200"/>
        <w:jc w:val="both"/>
      </w:pPr>
      <w:r>
        <w:rPr>
          <w:rFonts w:hint="eastAsia"/>
          <w:b/>
          <w:bCs/>
          <w:sz w:val="32"/>
          <w:szCs w:val="32"/>
        </w:rPr>
        <w:t>十四、上缴上级支出：</w:t>
      </w:r>
      <w:r>
        <w:rPr>
          <w:rFonts w:hint="eastAsia"/>
          <w:sz w:val="32"/>
          <w:szCs w:val="32"/>
        </w:rPr>
        <w:t>指事业单位按照财政部门和主管部门的规定上缴上级单位的支出。</w:t>
      </w:r>
    </w:p>
    <w:p>
      <w:pPr>
        <w:spacing w:before="100" w:beforeAutospacing="1" w:after="100" w:afterAutospacing="1" w:line="560" w:lineRule="atLeast"/>
        <w:ind w:firstLine="643" w:firstLineChars="200"/>
        <w:jc w:val="both"/>
      </w:pPr>
      <w:r>
        <w:rPr>
          <w:rFonts w:hint="eastAsia"/>
          <w:b/>
          <w:bCs/>
          <w:sz w:val="32"/>
          <w:szCs w:val="32"/>
        </w:rPr>
        <w:t>十五、经营支出：</w:t>
      </w:r>
      <w:r>
        <w:rPr>
          <w:rFonts w:hint="eastAsia"/>
          <w:sz w:val="32"/>
          <w:szCs w:val="32"/>
        </w:rPr>
        <w:t>指事业单位在专业业务活动及其辅助活动之外开展非独立核算经营活动发生的支出。</w:t>
      </w:r>
    </w:p>
    <w:p>
      <w:pPr>
        <w:spacing w:before="100" w:beforeAutospacing="1" w:after="100" w:afterAutospacing="1" w:line="560" w:lineRule="atLeast"/>
        <w:ind w:firstLine="643" w:firstLineChars="200"/>
        <w:jc w:val="both"/>
      </w:pPr>
      <w:r>
        <w:rPr>
          <w:rFonts w:hint="eastAsia"/>
          <w:b/>
          <w:bCs/>
          <w:sz w:val="32"/>
          <w:szCs w:val="32"/>
        </w:rPr>
        <w:t>十六、对附属单位补助支出：</w:t>
      </w:r>
      <w:r>
        <w:rPr>
          <w:rFonts w:hint="eastAsia"/>
          <w:sz w:val="32"/>
          <w:szCs w:val="32"/>
        </w:rPr>
        <w:t>指事业单位用财政拨款收入之外的收入对附属单位补助发生的支出。</w:t>
      </w:r>
    </w:p>
    <w:p>
      <w:pPr>
        <w:spacing w:before="100" w:beforeAutospacing="1" w:after="100" w:afterAutospacing="1" w:line="560" w:lineRule="atLeast"/>
        <w:ind w:firstLine="643" w:firstLineChars="200"/>
        <w:jc w:val="both"/>
      </w:pPr>
      <w:r>
        <w:rPr>
          <w:rFonts w:hint="eastAsia"/>
          <w:b/>
          <w:bCs/>
          <w:sz w:val="32"/>
          <w:szCs w:val="32"/>
        </w:rPr>
        <w:t>十七、</w:t>
      </w:r>
      <w:r>
        <w:rPr>
          <w:rFonts w:ascii="Times New Roman" w:hAnsi="Times New Roman" w:cs="Times New Roman"/>
          <w:b/>
          <w:bCs/>
          <w:sz w:val="32"/>
          <w:szCs w:val="32"/>
        </w:rPr>
        <w:t>“</w:t>
      </w:r>
      <w:r>
        <w:rPr>
          <w:rFonts w:hint="eastAsia"/>
          <w:b/>
          <w:bCs/>
          <w:sz w:val="32"/>
          <w:szCs w:val="32"/>
        </w:rPr>
        <w:t>三公</w:t>
      </w:r>
      <w:r>
        <w:rPr>
          <w:rFonts w:ascii="Times New Roman" w:hAnsi="Times New Roman" w:cs="Times New Roman"/>
          <w:b/>
          <w:bCs/>
          <w:sz w:val="32"/>
          <w:szCs w:val="32"/>
        </w:rPr>
        <w:t>”</w:t>
      </w:r>
      <w:r>
        <w:rPr>
          <w:rFonts w:hint="eastAsia"/>
          <w:b/>
          <w:bCs/>
          <w:sz w:val="32"/>
          <w:szCs w:val="32"/>
        </w:rPr>
        <w:t>经费：</w:t>
      </w:r>
      <w:r>
        <w:rPr>
          <w:rFonts w:hint="eastAsia"/>
          <w:sz w:val="32"/>
          <w:szCs w:val="32"/>
        </w:rPr>
        <w:t>指部门用财政拨款安排的因公出国（境）费、公务用车购置及运行维护费和公务接待费。其中，因公出国（境）费反映部门)公务出国（境）的国际旅费、国外城市间交通费、住宿费、伙食费、培训费、公杂费等支出；公务用车购置及运行维护费反映部门公务用车购置支出（含车辆购置税、牌照费）以及按规定保留的公务用车燃料费、维修费、过路过桥费、保险费、安全奖励费用等支出；公务接待费反映部门按规定开支的各类公务接待（含外宾接待）费用。</w:t>
      </w:r>
    </w:p>
    <w:p>
      <w:pPr>
        <w:spacing w:before="100" w:beforeAutospacing="1" w:after="100" w:afterAutospacing="1" w:line="560" w:lineRule="atLeast"/>
        <w:ind w:firstLine="643" w:firstLineChars="200"/>
        <w:jc w:val="both"/>
      </w:pPr>
      <w:r>
        <w:rPr>
          <w:rFonts w:hint="eastAsia"/>
          <w:b/>
          <w:bCs/>
          <w:sz w:val="32"/>
          <w:szCs w:val="32"/>
        </w:rPr>
        <w:t>十八、机构运行经费：</w:t>
      </w:r>
      <w:r>
        <w:rPr>
          <w:rFonts w:hint="eastAsia"/>
          <w:sz w:val="32"/>
          <w:szCs w:val="32"/>
        </w:rPr>
        <w:t>指部门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3"/>
        <w:keepNext/>
        <w:spacing w:line="360" w:lineRule="auto"/>
        <w:ind w:firstLine="723" w:firstLineChars="200"/>
        <w:jc w:val="center"/>
      </w:pPr>
      <w:r>
        <w:rPr>
          <w:rFonts w:hint="eastAsia" w:ascii="方正小标宋简体" w:eastAsia="方正小标宋简体"/>
        </w:rPr>
        <w:t>第四部分决算公开联系方式及信息反馈渠道</w:t>
      </w:r>
    </w:p>
    <w:p>
      <w:pPr>
        <w:spacing w:before="100" w:beforeAutospacing="1" w:after="100" w:afterAutospacing="1" w:line="600" w:lineRule="atLeast"/>
        <w:ind w:firstLine="480" w:firstLineChars="200"/>
        <w:jc w:val="both"/>
      </w:pPr>
    </w:p>
    <w:p>
      <w:pPr>
        <w:spacing w:before="100" w:beforeAutospacing="1" w:after="100" w:afterAutospacing="1" w:line="600" w:lineRule="atLeast"/>
        <w:ind w:firstLine="640" w:firstLineChars="200"/>
        <w:jc w:val="both"/>
      </w:pPr>
      <w:r>
        <w:rPr>
          <w:rFonts w:hint="eastAsia"/>
          <w:sz w:val="32"/>
          <w:szCs w:val="32"/>
        </w:rPr>
        <w:t>本单位决算公开信息反馈和联系方式：</w:t>
      </w:r>
    </w:p>
    <w:p>
      <w:pPr>
        <w:spacing w:before="100" w:beforeAutospacing="1" w:after="100" w:afterAutospacing="1"/>
        <w:ind w:firstLine="640" w:firstLineChars="200"/>
      </w:pPr>
      <w:r>
        <w:rPr>
          <w:rFonts w:hint="eastAsia"/>
          <w:sz w:val="32"/>
          <w:szCs w:val="32"/>
        </w:rPr>
        <w:t>联系人：郝小霞</w:t>
      </w:r>
      <w:r>
        <w:rPr>
          <w:rFonts w:hint="eastAsia"/>
          <w:sz w:val="32"/>
          <w:szCs w:val="32"/>
          <w:lang w:val="en-US" w:eastAsia="zh-CN"/>
        </w:rPr>
        <w:t xml:space="preserve">          </w:t>
      </w:r>
      <w:bookmarkStart w:id="0" w:name="_GoBack"/>
      <w:bookmarkEnd w:id="0"/>
      <w:r>
        <w:rPr>
          <w:rFonts w:hint="eastAsia"/>
          <w:sz w:val="32"/>
          <w:szCs w:val="32"/>
        </w:rPr>
        <w:t>联系电话：0471-6289290</w:t>
      </w:r>
    </w:p>
    <w:p>
      <w:pPr>
        <w:spacing w:after="120"/>
        <w:ind w:firstLine="480" w:firstLineChars="200"/>
        <w:jc w:val="both"/>
      </w:pPr>
    </w:p>
    <w:p>
      <w:pPr>
        <w:pStyle w:val="3"/>
        <w:keepNext/>
        <w:spacing w:line="360" w:lineRule="auto"/>
        <w:ind w:firstLine="723" w:firstLineChars="200"/>
        <w:jc w:val="center"/>
      </w:pPr>
      <w:r>
        <w:rPr>
          <w:rFonts w:hint="eastAsia" w:ascii="方正小标宋简体" w:eastAsia="方正小标宋简体"/>
        </w:rPr>
        <w:t>第五部分2022年度部门决算表</w:t>
      </w:r>
    </w:p>
    <w:p>
      <w:pPr>
        <w:spacing w:before="100" w:beforeAutospacing="1" w:after="100" w:afterAutospacing="1" w:line="600" w:lineRule="atLeast"/>
        <w:ind w:firstLine="480" w:firstLineChars="200"/>
        <w:jc w:val="both"/>
      </w:pPr>
    </w:p>
    <w:p>
      <w:pPr>
        <w:spacing w:before="100" w:beforeAutospacing="1" w:after="100" w:afterAutospacing="1" w:line="600" w:lineRule="atLeast"/>
        <w:ind w:firstLine="640" w:firstLineChars="200"/>
        <w:jc w:val="both"/>
      </w:pPr>
      <w:r>
        <w:rPr>
          <w:rFonts w:hint="eastAsia"/>
          <w:sz w:val="32"/>
          <w:szCs w:val="32"/>
        </w:rPr>
        <w:t>详见附件。</w:t>
      </w:r>
    </w:p>
    <w:p>
      <w:pPr>
        <w:spacing w:before="100" w:beforeAutospacing="1" w:after="100" w:afterAutospacing="1"/>
        <w:ind w:firstLine="480" w:firstLineChars="200"/>
      </w:pPr>
    </w:p>
    <w:p>
      <w:pPr>
        <w:spacing w:before="100" w:beforeAutospacing="1" w:after="100" w:afterAutospacing="1"/>
        <w:ind w:firstLine="480" w:firstLineChars="200"/>
      </w:pPr>
    </w:p>
    <w:p>
      <w:pPr>
        <w:spacing w:before="100" w:beforeAutospacing="1" w:after="100" w:afterAutospacing="1"/>
        <w:ind w:firstLine="480" w:firstLineChars="200"/>
      </w:pPr>
    </w:p>
    <w:p>
      <w:pPr>
        <w:spacing w:before="100" w:beforeAutospacing="1" w:after="100" w:afterAutospacing="1"/>
        <w:ind w:firstLine="480" w:firstLineChars="200"/>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4"/>
  </w:compat>
  <w:docVars>
    <w:docVar w:name="commondata" w:val="eyJoZGlkIjoiZGQ1NTQxODAzNDY1YTRkMTg5NTNjMjQ5NWU0OTQ0MTkifQ=="/>
  </w:docVars>
  <w:rsids>
    <w:rsidRoot w:val="00E77D57"/>
    <w:rsid w:val="002B4009"/>
    <w:rsid w:val="003C48DB"/>
    <w:rsid w:val="0040175D"/>
    <w:rsid w:val="0044078F"/>
    <w:rsid w:val="00BA2BD6"/>
    <w:rsid w:val="00D768ED"/>
    <w:rsid w:val="00E704FE"/>
    <w:rsid w:val="00E77D57"/>
    <w:rsid w:val="00E845F4"/>
    <w:rsid w:val="0728596A"/>
    <w:rsid w:val="092E7A8D"/>
    <w:rsid w:val="09333004"/>
    <w:rsid w:val="20BA253E"/>
    <w:rsid w:val="44D1488F"/>
    <w:rsid w:val="4F640F2F"/>
    <w:rsid w:val="56B1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link w:val="11"/>
    <w:qFormat/>
    <w:uiPriority w:val="9"/>
    <w:pPr>
      <w:spacing w:before="100" w:beforeAutospacing="1" w:after="100" w:afterAutospacing="1"/>
      <w:outlineLvl w:val="0"/>
    </w:pPr>
    <w:rPr>
      <w:b/>
      <w:bCs/>
      <w:kern w:val="36"/>
      <w:sz w:val="48"/>
      <w:szCs w:val="48"/>
    </w:rPr>
  </w:style>
  <w:style w:type="paragraph" w:styleId="3">
    <w:name w:val="heading 2"/>
    <w:basedOn w:val="1"/>
    <w:link w:val="12"/>
    <w:qFormat/>
    <w:uiPriority w:val="9"/>
    <w:pPr>
      <w:spacing w:before="100" w:beforeAutospacing="1" w:after="100" w:afterAutospacing="1"/>
      <w:outlineLvl w:val="1"/>
    </w:pPr>
    <w:rPr>
      <w:b/>
      <w:bCs/>
      <w:sz w:val="36"/>
      <w:szCs w:val="36"/>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Normal Indent"/>
    <w:basedOn w:val="1"/>
    <w:next w:val="5"/>
    <w:semiHidden/>
    <w:unhideWhenUsed/>
    <w:qFormat/>
    <w:uiPriority w:val="0"/>
    <w:pPr>
      <w:widowControl w:val="0"/>
      <w:spacing w:line="360" w:lineRule="auto"/>
      <w:ind w:firstLine="420" w:firstLineChars="200"/>
    </w:pPr>
    <w:rPr>
      <w:rFonts w:ascii="仿宋_GB2312" w:hAnsi="Arial" w:eastAsia="仿宋_GB2312" w:cs="Times New Roman"/>
      <w:sz w:val="30"/>
      <w:szCs w:val="30"/>
    </w:rPr>
  </w:style>
  <w:style w:type="paragraph" w:styleId="5">
    <w:name w:val="Body Text"/>
    <w:basedOn w:val="1"/>
    <w:link w:val="13"/>
    <w:semiHidden/>
    <w:unhideWhenUsed/>
    <w:qFormat/>
    <w:uiPriority w:val="99"/>
    <w:pPr>
      <w:spacing w:after="120"/>
    </w:pPr>
  </w:style>
  <w:style w:type="paragraph" w:styleId="6">
    <w:name w:val="Balloon Text"/>
    <w:basedOn w:val="1"/>
    <w:link w:val="16"/>
    <w:semiHidden/>
    <w:unhideWhenUsed/>
    <w:qFormat/>
    <w:uiPriority w:val="99"/>
    <w:rPr>
      <w:sz w:val="18"/>
      <w:szCs w:val="18"/>
    </w:rPr>
  </w:style>
  <w:style w:type="paragraph" w:styleId="7">
    <w:name w:val="footer"/>
    <w:basedOn w:val="1"/>
    <w:link w:val="15"/>
    <w:semiHidden/>
    <w:unhideWhenUsed/>
    <w:qFormat/>
    <w:uiPriority w:val="99"/>
    <w:pPr>
      <w:tabs>
        <w:tab w:val="center" w:pos="4153"/>
        <w:tab w:val="right" w:pos="8306"/>
      </w:tabs>
      <w:snapToGrid w:val="0"/>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字符"/>
    <w:basedOn w:val="10"/>
    <w:link w:val="2"/>
    <w:qFormat/>
    <w:locked/>
    <w:uiPriority w:val="9"/>
    <w:rPr>
      <w:rFonts w:hint="eastAsia" w:ascii="宋体" w:hAnsi="宋体" w:eastAsia="宋体" w:cs="宋体"/>
      <w:b/>
      <w:bCs/>
      <w:kern w:val="44"/>
      <w:sz w:val="44"/>
      <w:szCs w:val="44"/>
    </w:rPr>
  </w:style>
  <w:style w:type="character" w:customStyle="1" w:styleId="12">
    <w:name w:val="标题 2 字符"/>
    <w:basedOn w:val="10"/>
    <w:link w:val="3"/>
    <w:semiHidden/>
    <w:qFormat/>
    <w:locked/>
    <w:uiPriority w:val="9"/>
    <w:rPr>
      <w:rFonts w:hint="default" w:asciiTheme="majorHAnsi" w:hAnsiTheme="majorHAnsi" w:eastAsiaTheme="majorEastAsia" w:cstheme="majorBidi"/>
      <w:b/>
      <w:bCs/>
      <w:sz w:val="32"/>
      <w:szCs w:val="32"/>
    </w:rPr>
  </w:style>
  <w:style w:type="character" w:customStyle="1" w:styleId="13">
    <w:name w:val="正文文本 字符"/>
    <w:basedOn w:val="10"/>
    <w:link w:val="5"/>
    <w:semiHidden/>
    <w:qFormat/>
    <w:locked/>
    <w:uiPriority w:val="99"/>
    <w:rPr>
      <w:rFonts w:hint="eastAsia" w:ascii="宋体" w:hAnsi="宋体" w:eastAsia="宋体" w:cs="宋体"/>
      <w:sz w:val="24"/>
      <w:szCs w:val="24"/>
    </w:rPr>
  </w:style>
  <w:style w:type="character" w:customStyle="1" w:styleId="14">
    <w:name w:val="页眉 字符"/>
    <w:basedOn w:val="10"/>
    <w:link w:val="8"/>
    <w:semiHidden/>
    <w:qFormat/>
    <w:locked/>
    <w:uiPriority w:val="99"/>
    <w:rPr>
      <w:rFonts w:hint="eastAsia" w:ascii="宋体" w:hAnsi="宋体" w:eastAsia="宋体" w:cs="宋体"/>
      <w:sz w:val="18"/>
      <w:szCs w:val="18"/>
    </w:rPr>
  </w:style>
  <w:style w:type="character" w:customStyle="1" w:styleId="15">
    <w:name w:val="页脚 字符"/>
    <w:basedOn w:val="10"/>
    <w:link w:val="7"/>
    <w:semiHidden/>
    <w:qFormat/>
    <w:locked/>
    <w:uiPriority w:val="99"/>
    <w:rPr>
      <w:rFonts w:hint="eastAsia" w:ascii="宋体" w:hAnsi="宋体" w:eastAsia="宋体" w:cs="宋体"/>
      <w:sz w:val="18"/>
      <w:szCs w:val="18"/>
    </w:rPr>
  </w:style>
  <w:style w:type="character" w:customStyle="1" w:styleId="16">
    <w:name w:val="批注框文本 字符"/>
    <w:basedOn w:val="10"/>
    <w:link w:val="6"/>
    <w:semiHidden/>
    <w:qFormat/>
    <w:locked/>
    <w:uiPriority w:val="99"/>
    <w:rPr>
      <w:rFonts w:hint="eastAsia" w:ascii="宋体" w:hAnsi="宋体" w:eastAsia="宋体" w:cs="宋体"/>
      <w:sz w:val="18"/>
      <w:szCs w:val="18"/>
    </w:rPr>
  </w:style>
  <w:style w:type="table" w:customStyle="1" w:styleId="17">
    <w:name w:val="Table Normal"/>
    <w:semiHidden/>
    <w:qFormat/>
    <w:uiPriority w:val="2"/>
    <w:rPr>
      <w:rFonts w:eastAsia="宋体"/>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'[Microsoft Word 中的图表]Sheet1'!$C$14</c:f>
              <c:strCache>
                <c:ptCount val="1"/>
                <c:pt idx="0">
                  <c:v>收入决算</c:v>
                </c:pt>
              </c:strCache>
            </c:strRef>
          </c:tx>
          <c:explosion val="0"/>
          <c:dPt>
            <c:idx val="0"/>
            <c:bubble3D val="0"/>
          </c:dPt>
          <c:dPt>
            <c:idx val="1"/>
            <c:bubble3D val="0"/>
          </c:dPt>
          <c:dPt>
            <c:idx val="2"/>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'[Microsoft Word 中的图表]Sheet1'!$D$13:$F$13</c:f>
              <c:strCache>
                <c:ptCount val="3"/>
                <c:pt idx="0">
                  <c:v>财政拨款收入31690.02</c:v>
                </c:pt>
                <c:pt idx="1">
                  <c:v>经营收入14390.2</c:v>
                </c:pt>
                <c:pt idx="2">
                  <c:v>其他收入101.25</c:v>
                </c:pt>
              </c:strCache>
            </c:strRef>
          </c:cat>
          <c:val>
            <c:numRef>
              <c:f>'[Microsoft Word 中的图表]Sheet1'!$D$14:$F$14</c:f>
              <c:numCache>
                <c:formatCode>General</c:formatCode>
                <c:ptCount val="3"/>
                <c:pt idx="0">
                  <c:v>31690.02</c:v>
                </c:pt>
                <c:pt idx="1">
                  <c:v>14390.2</c:v>
                </c:pt>
                <c:pt idx="2">
                  <c:v>101.25</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02779090113736"/>
          <c:y val="0.407757363662875"/>
          <c:w val="0.380554243219598"/>
          <c:h val="0.29281824146981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Sheet1!$A$2:$A$4</c:f>
              <c:strCache>
                <c:ptCount val="3"/>
                <c:pt idx="0">
                  <c:v>基本支出1833.65万元</c:v>
                </c:pt>
                <c:pt idx="1">
                  <c:v>项目支出29654.84万元</c:v>
                </c:pt>
                <c:pt idx="2">
                  <c:v>经营支出9743.42万元</c:v>
                </c:pt>
              </c:strCache>
            </c:strRef>
          </c:cat>
          <c:val>
            <c:numRef>
              <c:f>Sheet1!$B$2:$B$4</c:f>
              <c:numCache>
                <c:formatCode>General</c:formatCode>
                <c:ptCount val="3"/>
                <c:pt idx="0">
                  <c:v>1833.65</c:v>
                </c:pt>
                <c:pt idx="1">
                  <c:v>29654.84</c:v>
                </c:pt>
                <c:pt idx="2">
                  <c:v>9743.42</c:v>
                </c:pt>
              </c:numCache>
            </c:numRef>
          </c:val>
        </c:ser>
        <c:dLbls>
          <c:showLegendKey val="0"/>
          <c:showVal val="0"/>
          <c:showCatName val="0"/>
          <c:showSerName val="0"/>
          <c:showPercent val="0"/>
          <c:showBubbleSize val="0"/>
          <c:showLeaderLines val="0"/>
        </c:dLbls>
        <c:firstSliceAng val="0"/>
      </c:pieChart>
      <c:spPr>
        <a:noFill/>
        <a:ln w="25398">
          <a:noFill/>
        </a:ln>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2140D-0E89-4B7B-B916-AB02797F9D4B}">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2577</Words>
  <Characters>14694</Characters>
  <Lines>122</Lines>
  <Paragraphs>34</Paragraphs>
  <TotalTime>2</TotalTime>
  <ScaleCrop>false</ScaleCrop>
  <LinksUpToDate>false</LinksUpToDate>
  <CharactersWithSpaces>17237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2023-09-04T09:19:00Z</dcterms:created>
  <dc:creator>Admin</dc:creator>
  <cp:lastModifiedBy>Administrator</cp:lastModifiedBy>
  <dcterms:modified xsi:type="dcterms:W3CDTF">2023-09-05T08:55:55Z</dcterms:modified>
  <dc:title>DWZDM</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3F509569FFC54E178E0384E897F8927B_13</vt:lpwstr>
  </property>
</Properties>
</file>