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52"/>
          <w:szCs w:val="72"/>
        </w:rPr>
      </w:pPr>
      <w:r>
        <w:rPr>
          <w:rFonts w:hint="eastAsia"/>
          <w:b/>
          <w:bCs/>
          <w:sz w:val="52"/>
          <w:szCs w:val="72"/>
        </w:rPr>
        <w:t>起重机械首检报检流程</w:t>
      </w:r>
    </w:p>
    <w:p>
      <w:pPr>
        <w:rPr>
          <w:sz w:val="52"/>
          <w:szCs w:val="72"/>
        </w:rPr>
      </w:pPr>
      <w:r>
        <w:rPr>
          <w:rFonts w:hint="eastAsia"/>
          <w:sz w:val="32"/>
          <w:szCs w:val="40"/>
        </w:rPr>
        <w:t>1、登录特种设备信息化平台（网址https://tzsb.bttjs.org.cn/）→登录使用单位管理系统。依据《起重机械定期检验规则》TSG Q7015-2016第七条要求：实施首次检验的起重机械,其产权单位应当在使用前向产权所在地的检验机构申请首次检验。如需委托施工单位负责首检相关事宜请委托施工单位办理。（本说明最后一页附委托书样本）</w:t>
      </w:r>
    </w:p>
    <w:p>
      <w:r>
        <w:rPr>
          <w:rFonts w:hint="eastAsia"/>
        </w:rPr>
        <w:drawing>
          <wp:inline distT="0" distB="0" distL="114300" distR="114300">
            <wp:extent cx="6571615" cy="3495675"/>
            <wp:effectExtent l="0" t="0" r="635" b="9525"/>
            <wp:docPr id="1" name="图片 1" descr="使用单位登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使用单位登录页"/>
                    <pic:cNvPicPr>
                      <a:picLocks noChangeAspect="1"/>
                    </pic:cNvPicPr>
                  </pic:nvPicPr>
                  <pic:blipFill>
                    <a:blip r:embed="rId4"/>
                    <a:stretch>
                      <a:fillRect/>
                    </a:stretch>
                  </pic:blipFill>
                  <pic:spPr>
                    <a:xfrm>
                      <a:off x="0" y="0"/>
                      <a:ext cx="6583529" cy="3502012"/>
                    </a:xfrm>
                    <a:prstGeom prst="rect">
                      <a:avLst/>
                    </a:prstGeom>
                  </pic:spPr>
                </pic:pic>
              </a:graphicData>
            </a:graphic>
          </wp:inline>
        </w:drawing>
      </w:r>
    </w:p>
    <w:p>
      <w:pPr>
        <w:numPr>
          <w:ilvl w:val="0"/>
          <w:numId w:val="1"/>
        </w:numPr>
        <w:rPr>
          <w:sz w:val="36"/>
          <w:szCs w:val="36"/>
        </w:rPr>
      </w:pPr>
      <w:r>
        <w:rPr>
          <w:rFonts w:hint="eastAsia"/>
          <w:sz w:val="36"/>
          <w:szCs w:val="36"/>
        </w:rPr>
        <w:t>登录使用单位管理系统后点击业务办理→设备检验业务→申请检验。</w:t>
      </w:r>
    </w:p>
    <w:p>
      <w:pPr>
        <w:rPr>
          <w:rFonts w:hint="eastAsia"/>
          <w:sz w:val="36"/>
          <w:szCs w:val="36"/>
        </w:rPr>
      </w:pPr>
      <w:r>
        <w:rPr>
          <w:sz w:val="36"/>
          <w:szCs w:val="36"/>
        </w:rPr>
        <w:drawing>
          <wp:inline distT="0" distB="0" distL="114300" distR="114300">
            <wp:extent cx="6400800" cy="2615565"/>
            <wp:effectExtent l="0" t="0" r="0"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6411818" cy="2620067"/>
                    </a:xfrm>
                    <a:prstGeom prst="rect">
                      <a:avLst/>
                    </a:prstGeom>
                  </pic:spPr>
                </pic:pic>
              </a:graphicData>
            </a:graphic>
          </wp:inline>
        </w:drawing>
      </w:r>
    </w:p>
    <w:p>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pPr>
        <w:rPr>
          <w:sz w:val="36"/>
          <w:szCs w:val="36"/>
        </w:rPr>
      </w:pPr>
      <w:r>
        <w:rPr>
          <w:sz w:val="36"/>
          <w:szCs w:val="36"/>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800725" cy="3390900"/>
                    </a:xfrm>
                    <a:prstGeom prst="rect">
                      <a:avLst/>
                    </a:prstGeom>
                  </pic:spPr>
                </pic:pic>
              </a:graphicData>
            </a:graphic>
          </wp:inline>
        </w:drawing>
      </w:r>
    </w:p>
    <w:p>
      <w:pPr>
        <w:numPr>
          <w:ilvl w:val="0"/>
          <w:numId w:val="1"/>
        </w:numPr>
        <w:rPr>
          <w:sz w:val="36"/>
          <w:szCs w:val="36"/>
        </w:rPr>
      </w:pPr>
      <w:r>
        <w:rPr>
          <w:rFonts w:hint="eastAsia"/>
          <w:sz w:val="36"/>
          <w:szCs w:val="36"/>
        </w:rPr>
        <w:t>在基本信息页面填入基本信息→点击保存基本信息</w:t>
      </w:r>
    </w:p>
    <w:p>
      <w:pPr>
        <w:rPr>
          <w:sz w:val="36"/>
          <w:szCs w:val="36"/>
        </w:rPr>
      </w:pPr>
      <w:r>
        <w:rPr>
          <w:rFonts w:hint="eastAsia"/>
          <w:sz w:val="36"/>
          <w:szCs w:val="36"/>
        </w:rPr>
        <w:t>注：示例图中红色方框内为必填项。</w:t>
      </w:r>
    </w:p>
    <w:p>
      <w:pPr>
        <w:rPr>
          <w:sz w:val="36"/>
          <w:szCs w:val="36"/>
        </w:rPr>
      </w:pPr>
      <w:r>
        <w:rPr>
          <w:sz w:val="36"/>
          <w:szCs w:val="36"/>
        </w:rPr>
        <w:drawing>
          <wp:inline distT="0" distB="0" distL="0" distR="0">
            <wp:extent cx="6645910" cy="4619625"/>
            <wp:effectExtent l="0" t="0" r="2540" b="9525"/>
            <wp:docPr id="16710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53570"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45910" cy="4619625"/>
                    </a:xfrm>
                    <a:prstGeom prst="rect">
                      <a:avLst/>
                    </a:prstGeom>
                  </pic:spPr>
                </pic:pic>
              </a:graphicData>
            </a:graphic>
          </wp:inline>
        </w:drawing>
      </w:r>
    </w:p>
    <w:p>
      <w:pPr>
        <w:numPr>
          <w:ilvl w:val="0"/>
          <w:numId w:val="1"/>
        </w:numPr>
        <w:rPr>
          <w:sz w:val="36"/>
          <w:szCs w:val="36"/>
        </w:rPr>
      </w:pPr>
      <w:r>
        <w:rPr>
          <w:rFonts w:hint="eastAsia"/>
          <w:sz w:val="36"/>
          <w:szCs w:val="36"/>
        </w:rPr>
        <w:t>保存基本信息生成受理单号后切换报检设备信息页面→点击“批量增加施工告知设备”。</w:t>
      </w:r>
    </w:p>
    <w:p>
      <w:pPr>
        <w:rPr>
          <w:sz w:val="36"/>
          <w:szCs w:val="36"/>
        </w:rPr>
      </w:pPr>
      <w:r>
        <w:rPr>
          <w:sz w:val="36"/>
          <w:szCs w:val="36"/>
        </w:rPr>
        <w:drawing>
          <wp:inline distT="0" distB="0" distL="114300" distR="114300">
            <wp:extent cx="6638925" cy="2783840"/>
            <wp:effectExtent l="0" t="0" r="9525" b="16510"/>
            <wp:docPr id="15" name="图片 15" descr="容器渐渐报检设备信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容器渐渐报检设备信息页"/>
                    <pic:cNvPicPr>
                      <a:picLocks noChangeAspect="1"/>
                    </pic:cNvPicPr>
                  </pic:nvPicPr>
                  <pic:blipFill>
                    <a:blip r:embed="rId9"/>
                    <a:stretch>
                      <a:fillRect/>
                    </a:stretch>
                  </pic:blipFill>
                  <pic:spPr>
                    <a:xfrm>
                      <a:off x="0" y="0"/>
                      <a:ext cx="6638925" cy="2783840"/>
                    </a:xfrm>
                    <a:prstGeom prst="rect">
                      <a:avLst/>
                    </a:prstGeom>
                  </pic:spPr>
                </pic:pic>
              </a:graphicData>
            </a:graphic>
          </wp:inline>
        </w:drawing>
      </w:r>
    </w:p>
    <w:p>
      <w:pPr>
        <w:rPr>
          <w:sz w:val="36"/>
          <w:szCs w:val="36"/>
        </w:rPr>
      </w:pPr>
      <w:bookmarkStart w:id="0" w:name="_GoBack"/>
      <w:bookmarkEnd w:id="0"/>
    </w:p>
    <w:p>
      <w:pPr>
        <w:numPr>
          <w:ilvl w:val="0"/>
          <w:numId w:val="1"/>
        </w:numPr>
        <w:rPr>
          <w:sz w:val="36"/>
          <w:szCs w:val="36"/>
        </w:rPr>
      </w:pPr>
      <w:r>
        <w:rPr>
          <w:rFonts w:hint="eastAsia"/>
          <w:sz w:val="36"/>
          <w:szCs w:val="36"/>
        </w:rPr>
        <w:t>在弹出的报检页面找到需要报检的设备→勾选后先点击选择设备按钮，再点击保存报检设备按钮。</w:t>
      </w:r>
    </w:p>
    <w:p>
      <w:pPr>
        <w:rPr>
          <w:sz w:val="36"/>
          <w:szCs w:val="36"/>
        </w:rPr>
      </w:pPr>
      <w:r>
        <w:rPr>
          <w:sz w:val="36"/>
          <w:szCs w:val="36"/>
        </w:rPr>
        <w:drawing>
          <wp:inline distT="0" distB="0" distL="0" distR="0">
            <wp:extent cx="6645910" cy="4448175"/>
            <wp:effectExtent l="0" t="0" r="2540" b="9525"/>
            <wp:docPr id="9311074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07485"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645910" cy="4448175"/>
                    </a:xfrm>
                    <a:prstGeom prst="rect">
                      <a:avLst/>
                    </a:prstGeom>
                  </pic:spPr>
                </pic:pic>
              </a:graphicData>
            </a:graphic>
          </wp:inline>
        </w:drawing>
      </w:r>
    </w:p>
    <w:p>
      <w:pPr>
        <w:rPr>
          <w:sz w:val="36"/>
          <w:szCs w:val="36"/>
        </w:rPr>
      </w:pPr>
    </w:p>
    <w:p>
      <w:pPr>
        <w:rPr>
          <w:sz w:val="36"/>
          <w:szCs w:val="36"/>
        </w:rPr>
      </w:pPr>
    </w:p>
    <w:p>
      <w:pPr>
        <w:numPr>
          <w:ilvl w:val="0"/>
          <w:numId w:val="1"/>
        </w:numPr>
        <w:rPr>
          <w:sz w:val="36"/>
          <w:szCs w:val="36"/>
        </w:rPr>
      </w:pPr>
      <w:r>
        <w:rPr>
          <w:rFonts w:hint="eastAsia"/>
          <w:sz w:val="36"/>
          <w:szCs w:val="36"/>
        </w:rPr>
        <w:t>回到基本信息页面点击提交申请完成本次报检。</w:t>
      </w:r>
    </w:p>
    <w:p>
      <w:pPr>
        <w:rPr>
          <w:sz w:val="36"/>
          <w:szCs w:val="36"/>
        </w:rPr>
      </w:pPr>
      <w:r>
        <w:rPr>
          <w:sz w:val="36"/>
          <w:szCs w:val="36"/>
        </w:rPr>
        <w:drawing>
          <wp:inline distT="0" distB="0" distL="114300" distR="114300">
            <wp:extent cx="6191250" cy="2514600"/>
            <wp:effectExtent l="0" t="0" r="0" b="0"/>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1"/>
                    <a:stretch>
                      <a:fillRect/>
                    </a:stretch>
                  </pic:blipFill>
                  <pic:spPr>
                    <a:xfrm>
                      <a:off x="0" y="0"/>
                      <a:ext cx="6191250" cy="2514600"/>
                    </a:xfrm>
                    <a:prstGeom prst="rect">
                      <a:avLst/>
                    </a:prstGeom>
                  </pic:spPr>
                </pic:pic>
              </a:graphicData>
            </a:graphic>
          </wp:inline>
        </w:drawing>
      </w:r>
    </w:p>
    <w:p>
      <w:pPr>
        <w:rPr>
          <w:sz w:val="36"/>
          <w:szCs w:val="36"/>
        </w:rPr>
      </w:pPr>
    </w:p>
    <w:p>
      <w:pPr>
        <w:rPr>
          <w:sz w:val="36"/>
          <w:szCs w:val="36"/>
        </w:rPr>
      </w:pPr>
      <w:r>
        <w:rPr>
          <w:rFonts w:hint="eastAsia"/>
          <w:sz w:val="36"/>
          <w:szCs w:val="36"/>
        </w:rPr>
        <w:t>以上为起重机械首检的报检流程，我们会在1—2个工作日内给您受理您的报检，您可以随时登录平台系统查看您的报检流程状态（“编制”状态在用户自己名下，“已申请”状态在业务大厅受理过程中，“待审核”状态已分配检验科室，“审核通过”状态检验科室已分配检验任务至检验员）。请您在报检后耐心等待我们的受理，我们的检验员会在收到您的报检后第一时间联系您安排检验事宜。如有其他问题，请咨询业务大厅0472-5996123或0472-5996133</w:t>
      </w: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rPr>
          <w:sz w:val="36"/>
          <w:szCs w:val="36"/>
        </w:rPr>
      </w:pPr>
    </w:p>
    <w:p>
      <w:pPr>
        <w:jc w:val="center"/>
        <w:rPr>
          <w:sz w:val="48"/>
          <w:szCs w:val="48"/>
        </w:rPr>
      </w:pPr>
    </w:p>
    <w:p>
      <w:pPr>
        <w:jc w:val="center"/>
        <w:rPr>
          <w:sz w:val="48"/>
          <w:szCs w:val="48"/>
        </w:rPr>
      </w:pPr>
    </w:p>
    <w:p>
      <w:pPr>
        <w:jc w:val="center"/>
        <w:rPr>
          <w:rFonts w:ascii="楷体" w:hAnsi="楷体" w:eastAsia="楷体" w:cs="楷体"/>
          <w:sz w:val="48"/>
          <w:szCs w:val="48"/>
        </w:rPr>
      </w:pPr>
      <w:r>
        <w:rPr>
          <w:rFonts w:hint="eastAsia" w:ascii="楷体" w:hAnsi="楷体" w:eastAsia="楷体" w:cs="楷体"/>
          <w:sz w:val="48"/>
          <w:szCs w:val="48"/>
        </w:rPr>
        <w:t>起重机械首次检验委托书</w:t>
      </w:r>
    </w:p>
    <w:p>
      <w:pPr>
        <w:rPr>
          <w:rFonts w:ascii="楷体" w:hAnsi="楷体" w:eastAsia="楷体" w:cs="楷体"/>
          <w:sz w:val="32"/>
          <w:szCs w:val="32"/>
        </w:rPr>
      </w:pPr>
    </w:p>
    <w:p>
      <w:pPr>
        <w:rPr>
          <w:rFonts w:ascii="楷体" w:hAnsi="楷体" w:eastAsia="楷体" w:cs="楷体"/>
          <w:sz w:val="28"/>
          <w:szCs w:val="28"/>
        </w:rPr>
      </w:pPr>
      <w:r>
        <w:rPr>
          <w:rFonts w:hint="eastAsia" w:ascii="楷体" w:hAnsi="楷体" w:eastAsia="楷体" w:cs="楷体"/>
          <w:sz w:val="28"/>
          <w:szCs w:val="28"/>
        </w:rPr>
        <w:t>委托人(起重机产权单位):</w:t>
      </w:r>
    </w:p>
    <w:p>
      <w:pPr>
        <w:rPr>
          <w:rFonts w:ascii="楷体" w:hAnsi="楷体" w:eastAsia="楷体" w:cs="楷体"/>
          <w:sz w:val="28"/>
          <w:szCs w:val="28"/>
        </w:rPr>
      </w:pPr>
    </w:p>
    <w:p>
      <w:pPr>
        <w:rPr>
          <w:rFonts w:ascii="楷体" w:hAnsi="楷体" w:eastAsia="楷体" w:cs="楷体"/>
          <w:sz w:val="28"/>
          <w:szCs w:val="28"/>
        </w:rPr>
      </w:pPr>
      <w:r>
        <w:rPr>
          <w:rFonts w:hint="eastAsia" w:ascii="楷体" w:hAnsi="楷体" w:eastAsia="楷体" w:cs="楷体"/>
          <w:sz w:val="28"/>
          <w:szCs w:val="28"/>
        </w:rPr>
        <w:t>受托人（起重机施工单位):</w:t>
      </w:r>
    </w:p>
    <w:p>
      <w:pPr>
        <w:rPr>
          <w:rFonts w:ascii="楷体" w:hAnsi="楷体" w:eastAsia="楷体" w:cs="楷体"/>
          <w:sz w:val="28"/>
          <w:szCs w:val="28"/>
        </w:rPr>
      </w:pPr>
    </w:p>
    <w:p>
      <w:pPr>
        <w:rPr>
          <w:rFonts w:ascii="楷体" w:hAnsi="楷体" w:eastAsia="楷体" w:cs="楷体"/>
          <w:sz w:val="28"/>
          <w:szCs w:val="28"/>
        </w:rPr>
      </w:pPr>
      <w:r>
        <w:rPr>
          <w:rFonts w:hint="eastAsia" w:ascii="楷体" w:hAnsi="楷体" w:eastAsia="楷体" w:cs="楷体"/>
          <w:sz w:val="28"/>
          <w:szCs w:val="28"/>
        </w:rPr>
        <w:t>委托事项:</w:t>
      </w:r>
    </w:p>
    <w:p>
      <w:pPr>
        <w:rPr>
          <w:rFonts w:ascii="楷体" w:hAnsi="楷体" w:eastAsia="楷体" w:cs="楷体"/>
          <w:sz w:val="28"/>
          <w:szCs w:val="28"/>
        </w:rPr>
      </w:pPr>
      <w:r>
        <w:rPr>
          <w:rFonts w:hint="eastAsia" w:ascii="楷体" w:hAnsi="楷体" w:eastAsia="楷体" w:cs="楷体"/>
          <w:sz w:val="28"/>
          <w:szCs w:val="28"/>
        </w:rPr>
        <w:t xml:space="preserve">    依据《起重机械定期检验规则》TSG Q7015-2016第七条要求:实施首次检验的起重机械,其产权单位应当在使用前向产权所在地的检验机构申请首次检验。</w:t>
      </w:r>
    </w:p>
    <w:p>
      <w:pPr>
        <w:ind w:firstLine="600"/>
        <w:rPr>
          <w:rFonts w:ascii="楷体" w:hAnsi="楷体" w:eastAsia="楷体" w:cs="楷体"/>
          <w:sz w:val="28"/>
          <w:szCs w:val="28"/>
        </w:rPr>
      </w:pPr>
      <w:r>
        <w:rPr>
          <w:rFonts w:hint="eastAsia" w:ascii="楷体" w:hAnsi="楷体" w:eastAsia="楷体" w:cs="楷体"/>
          <w:sz w:val="28"/>
          <w:szCs w:val="28"/>
        </w:rPr>
        <w:t>现委托受托人对委托人权属的起重机械到特种设备检验机构申请办理首次检验。</w:t>
      </w:r>
    </w:p>
    <w:p>
      <w:pPr>
        <w:ind w:firstLine="600"/>
        <w:rPr>
          <w:rFonts w:ascii="楷体" w:hAnsi="楷体" w:eastAsia="楷体" w:cs="楷体"/>
          <w:sz w:val="28"/>
          <w:szCs w:val="28"/>
        </w:rPr>
      </w:pPr>
    </w:p>
    <w:p>
      <w:pPr>
        <w:ind w:firstLine="600"/>
        <w:rPr>
          <w:rFonts w:ascii="楷体" w:hAnsi="楷体" w:eastAsia="楷体" w:cs="楷体"/>
          <w:sz w:val="28"/>
          <w:szCs w:val="28"/>
        </w:rPr>
      </w:pPr>
    </w:p>
    <w:p>
      <w:pPr>
        <w:rPr>
          <w:rFonts w:ascii="楷体" w:hAnsi="楷体" w:eastAsia="楷体" w:cs="楷体"/>
          <w:sz w:val="28"/>
          <w:szCs w:val="28"/>
        </w:rPr>
      </w:pPr>
      <w:r>
        <w:rPr>
          <w:rFonts w:hint="eastAsia" w:ascii="楷体" w:hAnsi="楷体" w:eastAsia="楷体" w:cs="楷体"/>
          <w:sz w:val="28"/>
          <w:szCs w:val="28"/>
        </w:rPr>
        <w:t>委托人（公章）：                  受托人（公章）：</w:t>
      </w:r>
    </w:p>
    <w:p>
      <w:pPr>
        <w:rPr>
          <w:rFonts w:ascii="楷体" w:hAnsi="楷体" w:eastAsia="楷体" w:cs="楷体"/>
          <w:sz w:val="28"/>
          <w:szCs w:val="28"/>
        </w:rPr>
      </w:pPr>
    </w:p>
    <w:p>
      <w:pPr>
        <w:rPr>
          <w:rFonts w:ascii="楷体" w:hAnsi="楷体" w:eastAsia="楷体" w:cs="楷体"/>
          <w:sz w:val="28"/>
          <w:szCs w:val="28"/>
        </w:rPr>
      </w:pPr>
      <w:r>
        <w:rPr>
          <w:rFonts w:hint="eastAsia" w:ascii="楷体" w:hAnsi="楷体" w:eastAsia="楷体" w:cs="楷体"/>
          <w:sz w:val="28"/>
          <w:szCs w:val="28"/>
        </w:rPr>
        <w:t>委托代表签字：                   受托代表签字：</w:t>
      </w:r>
    </w:p>
    <w:p>
      <w:pPr>
        <w:rPr>
          <w:rFonts w:ascii="楷体" w:hAnsi="楷体" w:eastAsia="楷体" w:cs="楷体"/>
          <w:sz w:val="28"/>
          <w:szCs w:val="28"/>
        </w:rPr>
      </w:pPr>
    </w:p>
    <w:p>
      <w:pPr>
        <w:rPr>
          <w:sz w:val="28"/>
          <w:szCs w:val="28"/>
        </w:rPr>
      </w:pPr>
      <w:r>
        <w:rPr>
          <w:rFonts w:hint="eastAsia" w:ascii="楷体" w:hAnsi="楷体" w:eastAsia="楷体" w:cs="楷体"/>
          <w:sz w:val="28"/>
          <w:szCs w:val="28"/>
        </w:rPr>
        <w:t>日期：   年   月   日            日期：   年   月   日</w:t>
      </w:r>
    </w:p>
    <w:p>
      <w:pPr>
        <w:rPr>
          <w:rFonts w:hint="eastAsia"/>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8DCA9A"/>
    <w:multiLevelType w:val="singleLevel"/>
    <w:tmpl w:val="7A8DCA9A"/>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1NGIxMDlhZjQ2OGJhZWU4ZWFjZDljYjQzMDM3MmUifQ=="/>
  </w:docVars>
  <w:rsids>
    <w:rsidRoot w:val="000A1C57"/>
    <w:rsid w:val="000A1C57"/>
    <w:rsid w:val="007877F8"/>
    <w:rsid w:val="007E3925"/>
    <w:rsid w:val="00B35650"/>
    <w:rsid w:val="00F61AE5"/>
    <w:rsid w:val="08640C24"/>
    <w:rsid w:val="089D30EE"/>
    <w:rsid w:val="120D6079"/>
    <w:rsid w:val="1DEA1916"/>
    <w:rsid w:val="2DB32BFC"/>
    <w:rsid w:val="3D485717"/>
    <w:rsid w:val="415428DD"/>
    <w:rsid w:val="4839269F"/>
    <w:rsid w:val="50FB4B23"/>
    <w:rsid w:val="71491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uiPriority w:val="0"/>
    <w:pPr>
      <w:tabs>
        <w:tab w:val="center" w:pos="4153"/>
        <w:tab w:val="right" w:pos="8306"/>
      </w:tabs>
      <w:snapToGrid w:val="0"/>
      <w:jc w:val="center"/>
    </w:pPr>
    <w:rPr>
      <w:sz w:val="18"/>
      <w:szCs w:val="18"/>
    </w:rPr>
  </w:style>
  <w:style w:type="character" w:customStyle="1" w:styleId="6">
    <w:name w:val="页眉 字符"/>
    <w:basedOn w:val="5"/>
    <w:link w:val="3"/>
    <w:autoRedefine/>
    <w:qFormat/>
    <w:uiPriority w:val="0"/>
    <w:rPr>
      <w:kern w:val="2"/>
      <w:sz w:val="18"/>
      <w:szCs w:val="18"/>
    </w:rPr>
  </w:style>
  <w:style w:type="character" w:customStyle="1" w:styleId="7">
    <w:name w:val="页脚 字符"/>
    <w:basedOn w:val="5"/>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133</Words>
  <Characters>761</Characters>
  <Lines>6</Lines>
  <Paragraphs>1</Paragraphs>
  <TotalTime>0</TotalTime>
  <ScaleCrop>false</ScaleCrop>
  <LinksUpToDate>false</LinksUpToDate>
  <CharactersWithSpaces>893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WPS_1655111749</cp:lastModifiedBy>
  <dcterms:modified xsi:type="dcterms:W3CDTF">2024-01-17T01:17:02Z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C86E3307BBE94D7F82C8B7ECD9636A28_13</vt:lpwstr>
  </property>
</Properties>
</file>